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CB40" w14:textId="4B0BA7BC" w:rsidR="00E64C43" w:rsidRPr="00E64C43" w:rsidRDefault="00111C94" w:rsidP="00083F00">
      <w:pPr>
        <w:spacing w:after="160" w:line="259" w:lineRule="auto"/>
        <w:ind w:left="284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Kontrolní list pro - </w:t>
      </w:r>
      <w:r w:rsidR="00E64C43">
        <w:rPr>
          <w:rFonts w:ascii="Arial" w:eastAsia="Arial" w:hAnsi="Arial" w:cs="Arial"/>
          <w:b/>
          <w:u w:val="single"/>
        </w:rPr>
        <w:t>Kritéria</w:t>
      </w:r>
      <w:r w:rsidR="00E64C43" w:rsidRPr="00927C57">
        <w:rPr>
          <w:rFonts w:ascii="Arial" w:eastAsia="Arial" w:hAnsi="Arial" w:cs="Arial"/>
          <w:b/>
          <w:u w:val="single"/>
        </w:rPr>
        <w:t xml:space="preserve"> pro posouzení věcné fáze procesu souladu projektového záměru se SCLLD</w:t>
      </w:r>
    </w:p>
    <w:tbl>
      <w:tblPr>
        <w:tblW w:w="22503" w:type="dxa"/>
        <w:tblInd w:w="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24"/>
        <w:gridCol w:w="883"/>
        <w:gridCol w:w="3738"/>
        <w:gridCol w:w="595"/>
        <w:gridCol w:w="1941"/>
        <w:gridCol w:w="8237"/>
        <w:gridCol w:w="2382"/>
        <w:gridCol w:w="4085"/>
        <w:gridCol w:w="8"/>
        <w:gridCol w:w="10"/>
      </w:tblGrid>
      <w:tr w:rsidR="005E4B68" w:rsidRPr="00A108CD" w14:paraId="6DD0C79E" w14:textId="4B8312DE" w:rsidTr="00FB37AB">
        <w:trPr>
          <w:trHeight w:val="850"/>
        </w:trPr>
        <w:tc>
          <w:tcPr>
            <w:tcW w:w="225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D28B8" w14:textId="511C38FE" w:rsidR="005E4B68" w:rsidRPr="00E55856" w:rsidRDefault="00E55856" w:rsidP="00E5585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</w:rPr>
              <w:t xml:space="preserve">Kontrolní list - </w:t>
            </w:r>
            <w:r w:rsidR="005E4B68" w:rsidRPr="00E55856">
              <w:rPr>
                <w:rFonts w:asciiTheme="minorHAnsi" w:hAnsiTheme="minorHAnsi" w:cstheme="minorHAnsi"/>
                <w:b/>
                <w:color w:val="FFFFFF"/>
                <w:sz w:val="28"/>
              </w:rPr>
              <w:t>Kritéria hodnocení věcné fáze posouzení souladu projektového záměru se SCLLD</w:t>
            </w:r>
          </w:p>
          <w:p w14:paraId="7E77AE41" w14:textId="414FE9F8" w:rsidR="005E4B68" w:rsidRPr="00E55856" w:rsidRDefault="005E4B68" w:rsidP="00E55856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8"/>
              </w:rPr>
            </w:pPr>
            <w:r w:rsidRPr="00E55856">
              <w:rPr>
                <w:rFonts w:asciiTheme="minorHAnsi" w:hAnsiTheme="minorHAnsi" w:cstheme="minorHAnsi"/>
                <w:b/>
                <w:color w:val="FFFFFF"/>
                <w:sz w:val="28"/>
              </w:rPr>
              <w:t>Kyjovské Slovácko v </w:t>
            </w:r>
            <w:proofErr w:type="gramStart"/>
            <w:r w:rsidRPr="00E55856">
              <w:rPr>
                <w:rFonts w:asciiTheme="minorHAnsi" w:hAnsiTheme="minorHAnsi" w:cstheme="minorHAnsi"/>
                <w:b/>
                <w:color w:val="FFFFFF"/>
                <w:sz w:val="28"/>
              </w:rPr>
              <w:t>pohybu, z. s.</w:t>
            </w:r>
            <w:proofErr w:type="gramEnd"/>
          </w:p>
        </w:tc>
      </w:tr>
      <w:tr w:rsidR="006410E8" w:rsidRPr="00A108CD" w14:paraId="3953134A" w14:textId="5064EB20" w:rsidTr="00FB37AB">
        <w:trPr>
          <w:gridAfter w:val="1"/>
          <w:wAfter w:w="10" w:type="dxa"/>
          <w:trHeight w:val="20"/>
        </w:trPr>
        <w:tc>
          <w:tcPr>
            <w:tcW w:w="1601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D981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580DE56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0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A9CF9AD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5E4B68" w:rsidRPr="00A108CD" w14:paraId="6954822E" w14:textId="03232D87" w:rsidTr="00FB37AB">
        <w:trPr>
          <w:trHeight w:val="680"/>
        </w:trPr>
        <w:tc>
          <w:tcPr>
            <w:tcW w:w="150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7C73D" w14:textId="77777777" w:rsidR="005E4B68" w:rsidRPr="00A108CD" w:rsidRDefault="005E4B68" w:rsidP="0005240F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Název a číslo výzvy MAS</w:t>
            </w:r>
          </w:p>
        </w:tc>
        <w:tc>
          <w:tcPr>
            <w:tcW w:w="20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6590D" w14:textId="48FCD6C8" w:rsidR="005E4B68" w:rsidRPr="00A108CD" w:rsidRDefault="005E4B68" w:rsidP="005E4B68">
            <w:pPr>
              <w:widowControl w:val="0"/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A108CD">
              <w:rPr>
                <w:rStyle w:val="markedcontent"/>
                <w:rFonts w:asciiTheme="minorHAnsi" w:hAnsiTheme="minorHAnsi" w:cstheme="minorHAnsi"/>
              </w:rPr>
              <w:t>1. Výzva IROP 21+ vzdělávání - ZŠ</w:t>
            </w:r>
          </w:p>
        </w:tc>
      </w:tr>
      <w:tr w:rsidR="005E4B68" w:rsidRPr="00A108CD" w14:paraId="61298027" w14:textId="5DE32CBA" w:rsidTr="00FB37AB">
        <w:trPr>
          <w:trHeight w:val="680"/>
        </w:trPr>
        <w:tc>
          <w:tcPr>
            <w:tcW w:w="150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30D9B" w14:textId="77777777" w:rsidR="005E4B68" w:rsidRPr="00A108CD" w:rsidRDefault="005E4B68" w:rsidP="0005240F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Název a číslo výzvy ŘO IROP</w:t>
            </w:r>
          </w:p>
        </w:tc>
        <w:tc>
          <w:tcPr>
            <w:tcW w:w="20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7C6CA" w14:textId="4F4CE9C9" w:rsidR="005E4B68" w:rsidRPr="00A108CD" w:rsidRDefault="005E4B68" w:rsidP="005E4B68">
            <w:pPr>
              <w:widowControl w:val="0"/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A108CD">
              <w:rPr>
                <w:rStyle w:val="markedcontent"/>
                <w:rFonts w:asciiTheme="minorHAnsi" w:hAnsiTheme="minorHAnsi" w:cstheme="minorHAnsi"/>
              </w:rPr>
              <w:t>48. výzva k předkládání žádostí o podporu, VZDĚLÁVÁNÍ – SC 5.1 (CLLD)</w:t>
            </w:r>
          </w:p>
        </w:tc>
      </w:tr>
      <w:tr w:rsidR="00111C94" w:rsidRPr="00A108CD" w14:paraId="3C2A0E92" w14:textId="77777777" w:rsidTr="00FB37AB">
        <w:trPr>
          <w:trHeight w:val="680"/>
        </w:trPr>
        <w:tc>
          <w:tcPr>
            <w:tcW w:w="150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4C7A3" w14:textId="26C1430C" w:rsidR="00111C94" w:rsidRPr="00A108CD" w:rsidRDefault="00111C94" w:rsidP="0072309A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20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B708F" w14:textId="77777777" w:rsidR="00111C94" w:rsidRPr="00A108CD" w:rsidRDefault="00111C94" w:rsidP="005E4B68">
            <w:pPr>
              <w:widowControl w:val="0"/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111C94" w:rsidRPr="00A108CD" w14:paraId="197F63BA" w14:textId="77777777" w:rsidTr="00FB37AB">
        <w:trPr>
          <w:trHeight w:val="680"/>
        </w:trPr>
        <w:tc>
          <w:tcPr>
            <w:tcW w:w="150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918072" w14:textId="5D41D808" w:rsidR="00111C94" w:rsidRPr="00A108CD" w:rsidRDefault="00111C94" w:rsidP="0072309A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Identifikace žadatele</w:t>
            </w:r>
          </w:p>
        </w:tc>
        <w:tc>
          <w:tcPr>
            <w:tcW w:w="20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94956" w14:textId="77777777" w:rsidR="00111C94" w:rsidRPr="00A108CD" w:rsidRDefault="00111C94" w:rsidP="005E4B68">
            <w:pPr>
              <w:widowControl w:val="0"/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72309A" w:rsidRPr="00A108CD" w14:paraId="55C023C8" w14:textId="77777777" w:rsidTr="00FB37AB">
        <w:trPr>
          <w:trHeight w:val="680"/>
        </w:trPr>
        <w:tc>
          <w:tcPr>
            <w:tcW w:w="1507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90773" w14:textId="5444E987" w:rsidR="0072309A" w:rsidRDefault="0072309A" w:rsidP="0072309A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hodnotitele</w:t>
            </w:r>
          </w:p>
        </w:tc>
        <w:tc>
          <w:tcPr>
            <w:tcW w:w="2099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FB06D" w14:textId="77777777" w:rsidR="0072309A" w:rsidRPr="00A108CD" w:rsidRDefault="0072309A" w:rsidP="005E4B68">
            <w:pPr>
              <w:widowControl w:val="0"/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6410E8" w:rsidRPr="00A108CD" w14:paraId="2705699F" w14:textId="49D230D0" w:rsidTr="00FB37AB">
        <w:trPr>
          <w:gridAfter w:val="1"/>
          <w:wAfter w:w="10" w:type="dxa"/>
          <w:trHeight w:val="20"/>
        </w:trPr>
        <w:tc>
          <w:tcPr>
            <w:tcW w:w="16018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643D8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3BA1B59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0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1FA7781A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5E4B68" w:rsidRPr="00A108CD" w14:paraId="5E9655E5" w14:textId="76B73D6E" w:rsidTr="00FB37AB">
        <w:trPr>
          <w:trHeight w:val="20"/>
        </w:trPr>
        <w:tc>
          <w:tcPr>
            <w:tcW w:w="22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CA9CE" w14:textId="388D9C1E" w:rsidR="005E4B68" w:rsidRPr="00A108CD" w:rsidRDefault="005E4B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108CD">
              <w:rPr>
                <w:rFonts w:asciiTheme="minorHAnsi" w:hAnsiTheme="minorHAnsi" w:cstheme="minorHAnsi"/>
                <w:b/>
                <w:color w:val="FFFFFF"/>
              </w:rPr>
              <w:t>Kritéria administrativní fáze</w:t>
            </w:r>
          </w:p>
        </w:tc>
      </w:tr>
      <w:tr w:rsidR="00111C94" w:rsidRPr="00A108CD" w14:paraId="2E6408CD" w14:textId="56CB45FC" w:rsidTr="00FB37AB">
        <w:trPr>
          <w:gridAfter w:val="2"/>
          <w:wAfter w:w="18" w:type="dxa"/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A2A27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Číslo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FEC97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Název kritéria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42F34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Počet bodů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A946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Referenční dokument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18B91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Popis a způsob hodnocení kořenového kritéria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</w:tcPr>
          <w:p w14:paraId="08CD3D56" w14:textId="5A0CA693" w:rsidR="006410E8" w:rsidRPr="00A108CD" w:rsidRDefault="005E4B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Přidělené bodové hodnocení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vAlign w:val="center"/>
          </w:tcPr>
          <w:p w14:paraId="4F48C204" w14:textId="38AAA2F7" w:rsidR="006410E8" w:rsidRPr="00A108CD" w:rsidRDefault="005E4B68" w:rsidP="005E4B6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Odůvodnění</w:t>
            </w:r>
          </w:p>
        </w:tc>
      </w:tr>
      <w:tr w:rsidR="006D10C6" w:rsidRPr="00A108CD" w14:paraId="5B8BF02E" w14:textId="3547FBC1" w:rsidTr="00A17091">
        <w:trPr>
          <w:gridAfter w:val="1"/>
          <w:wAfter w:w="10" w:type="dxa"/>
          <w:trHeight w:val="65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2731E" w14:textId="77777777" w:rsidR="006D10C6" w:rsidRPr="00A108CD" w:rsidRDefault="006D10C6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1EEF6" w14:textId="338AD3BD" w:rsidR="006D10C6" w:rsidRPr="00A108CD" w:rsidRDefault="006D10C6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Připravenost projektového záměru</w:t>
            </w:r>
          </w:p>
        </w:tc>
      </w:tr>
      <w:tr w:rsidR="00111C94" w:rsidRPr="00A108CD" w14:paraId="2DA27D5C" w14:textId="6A8910A8" w:rsidTr="00FB37AB">
        <w:trPr>
          <w:gridAfter w:val="2"/>
          <w:wAfter w:w="18" w:type="dxa"/>
          <w:trHeight w:val="270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0BB3" w14:textId="77777777" w:rsidR="00915A68" w:rsidRPr="00A108CD" w:rsidRDefault="00915A6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F9697" w14:textId="3FEB3D54" w:rsidR="00915A68" w:rsidRPr="00A108CD" w:rsidRDefault="00915A68" w:rsidP="00FB37AB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eastAsia="Times New Roman" w:hAnsiTheme="minorHAnsi" w:cstheme="minorHAnsi"/>
              </w:rPr>
              <w:t xml:space="preserve">Žadatel má </w:t>
            </w:r>
            <w:r w:rsidRPr="00A108CD">
              <w:rPr>
                <w:rFonts w:asciiTheme="minorHAnsi" w:hAnsiTheme="minorHAnsi" w:cstheme="minorHAnsi"/>
              </w:rPr>
              <w:t xml:space="preserve">ke dni ukončení administrativní fáze posouzení souladu projektového záměru se SCLLD </w:t>
            </w:r>
            <w:r w:rsidRPr="00A108CD">
              <w:rPr>
                <w:rFonts w:asciiTheme="minorHAnsi" w:eastAsia="Times New Roman" w:hAnsiTheme="minorHAnsi" w:cstheme="minorHAnsi"/>
              </w:rPr>
              <w:t>platný vydaný doklad prokazující povolení k realizaci stavby dle stavebního zákona v souladu s bodem 7. kapitoly 3.3.8 Povinných příloh k žádosti o podporu dle Specifických pravidel pro žadatele a příjemce, nebo k realizaci projektu není povolení potřeba.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0DA0D" w14:textId="6A3A9A6B" w:rsidR="00915A68" w:rsidRPr="00A108CD" w:rsidRDefault="00915A6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9EB3C" w14:textId="22A505D1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eastAsia="Times New Roman" w:hAnsiTheme="minorHAnsi" w:cstheme="minorHAnsi"/>
              </w:rPr>
              <w:t xml:space="preserve">Doklad prokazující povolení k realizaci stavby dle stavebního zákona/ Čestné prohlášení žadatele, že k realizaci projektu není třeba doklad prokazující povolení k realizaci stavby dle stavebního zákona </w:t>
            </w:r>
          </w:p>
        </w:tc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20D5A" w14:textId="6E470FD7" w:rsidR="00915A68" w:rsidRPr="00A108CD" w:rsidRDefault="00915A6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Kritérium hodnotí připravenost projektového záměru ke dni ukončení administrativní fáze posouzení souladu projektového záměru se SCLLD. </w:t>
            </w:r>
          </w:p>
          <w:p w14:paraId="16770427" w14:textId="77777777" w:rsidR="00915A68" w:rsidRPr="00A108CD" w:rsidRDefault="00915A6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Cílem kritéria je  podpořit projekty, které jsou lépe připravené k realizaci.</w:t>
            </w:r>
          </w:p>
          <w:p w14:paraId="74AA831D" w14:textId="53936560" w:rsidR="00915A68" w:rsidRPr="00A108CD" w:rsidRDefault="00915A68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Body budou přiděleny v případě doložení referenčního dokumentu. V případě doložení </w:t>
            </w:r>
            <w:r w:rsidRPr="00A108CD">
              <w:rPr>
                <w:rFonts w:asciiTheme="minorHAnsi" w:eastAsia="Times New Roman" w:hAnsiTheme="minorHAnsi" w:cstheme="minorHAnsi"/>
              </w:rPr>
              <w:t xml:space="preserve">dokladu prokazujícího povolení k realizaci stavby bude kontrolováno také, zda je dokument vydaný. </w:t>
            </w:r>
          </w:p>
          <w:p w14:paraId="6EE6F719" w14:textId="643F8D02" w:rsidR="00915A68" w:rsidRPr="00A108CD" w:rsidRDefault="00915A68" w:rsidP="00C95863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</w:rPr>
            </w:pPr>
            <w:r w:rsidRPr="00A108CD">
              <w:rPr>
                <w:rFonts w:asciiTheme="minorHAnsi" w:eastAsia="Times New Roman" w:hAnsiTheme="minorHAnsi" w:cstheme="minorHAnsi"/>
              </w:rPr>
              <w:t>V případě doložení Čestného prohlášení žadatele, že k realizaci projektu není třeba doklad prokazující povolení k realizaci stavby dle stavebního zákona, musí být použit vzor dokumentu, který přílohou Výzvy.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EA78E" w14:textId="77777777" w:rsidR="00915A68" w:rsidRPr="00A108CD" w:rsidRDefault="00915A6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0ED33" w14:textId="77777777" w:rsidR="00915A68" w:rsidRPr="00A108CD" w:rsidRDefault="00915A6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C94" w:rsidRPr="00A108CD" w14:paraId="7C927998" w14:textId="66A89424" w:rsidTr="00FB37AB">
        <w:trPr>
          <w:gridAfter w:val="2"/>
          <w:wAfter w:w="18" w:type="dxa"/>
          <w:trHeight w:val="3063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EEE3" w14:textId="77777777" w:rsidR="00915A68" w:rsidRPr="00A108CD" w:rsidRDefault="00915A6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C6AB4" w14:textId="227056A4" w:rsidR="00915A68" w:rsidRPr="00A108CD" w:rsidRDefault="00915A68" w:rsidP="00FB37AB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eastAsia="Times New Roman" w:hAnsiTheme="minorHAnsi" w:cstheme="minorHAnsi"/>
              </w:rPr>
              <w:t xml:space="preserve">Žadatel nemá </w:t>
            </w:r>
            <w:r w:rsidRPr="00A108CD">
              <w:rPr>
                <w:rFonts w:asciiTheme="minorHAnsi" w:hAnsiTheme="minorHAnsi" w:cstheme="minorHAnsi"/>
              </w:rPr>
              <w:t xml:space="preserve">ke dni ukončení administrativní fáze posouzení souladu projektového záměru se SCLLD </w:t>
            </w:r>
            <w:r w:rsidRPr="00A108CD">
              <w:rPr>
                <w:rFonts w:asciiTheme="minorHAnsi" w:eastAsia="Times New Roman" w:hAnsiTheme="minorHAnsi" w:cstheme="minorHAnsi"/>
              </w:rPr>
              <w:t>platný vydaný doklad prokazující povolení k realizaci stavby dle stavebního zákona v souladu s bodem 7. kapitoly 3.3.8 Povinných příloh k žádosti o podporu dle Specifických pravidel pro žadatele a příjemce a k realizaci projektu je povolení potřeba.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67F56" w14:textId="6542ED6F" w:rsidR="00915A68" w:rsidRPr="00A108CD" w:rsidRDefault="00915A6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00181" w14:textId="77777777" w:rsidR="00915A68" w:rsidRPr="00A108CD" w:rsidRDefault="00915A68" w:rsidP="0005240F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65D9F" w14:textId="77777777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CB8" w14:textId="77777777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861" w14:textId="77777777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10C6" w:rsidRPr="00A108CD" w14:paraId="2E922476" w14:textId="27420262" w:rsidTr="00A6497F">
        <w:trPr>
          <w:gridAfter w:val="1"/>
          <w:wAfter w:w="10" w:type="dxa"/>
          <w:trHeight w:val="66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FBE72" w14:textId="77777777" w:rsidR="006D10C6" w:rsidRPr="00A108CD" w:rsidRDefault="006D10C6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227DE" w14:textId="518F90A5" w:rsidR="006D10C6" w:rsidRPr="00A108CD" w:rsidRDefault="006D10C6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Realizovatelnost projektového záměru</w:t>
            </w:r>
          </w:p>
        </w:tc>
      </w:tr>
      <w:tr w:rsidR="00111C94" w:rsidRPr="00A108CD" w14:paraId="71B471B1" w14:textId="12A04751" w:rsidTr="00FB37AB">
        <w:trPr>
          <w:gridAfter w:val="2"/>
          <w:wAfter w:w="18" w:type="dxa"/>
          <w:trHeight w:val="202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92F8" w14:textId="77777777" w:rsidR="00915A68" w:rsidRPr="00A108CD" w:rsidRDefault="00915A6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BFCA0" w14:textId="21B9AF30" w:rsidR="00915A68" w:rsidRPr="00A108CD" w:rsidRDefault="00915A68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</w:rPr>
            </w:pPr>
            <w:r w:rsidRPr="00A108CD">
              <w:rPr>
                <w:rFonts w:asciiTheme="minorHAnsi" w:eastAsia="Times New Roman" w:hAnsiTheme="minorHAnsi" w:cstheme="minorHAnsi"/>
              </w:rPr>
              <w:t>Žadatel uvedl ve formuláři projektového záměru, v části Datum předložení dokumentace k závěrečnému vyhodnocení akce na ŘO IROP (podání Žádosti o platbu), datum předcházející datu 30. 6.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27595E" w14:textId="306F2F65" w:rsidR="00915A68" w:rsidRPr="00A108CD" w:rsidRDefault="00915A6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C63C9" w14:textId="24A8A92A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Formulář projektového záměru</w:t>
            </w:r>
          </w:p>
        </w:tc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45C27" w14:textId="05313481" w:rsidR="00915A68" w:rsidRPr="00A108CD" w:rsidRDefault="00915A68" w:rsidP="002726AC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Kritérium hodnotí realizovatelnost projektového záměru. Budou podporovány projekty, u nichž </w:t>
            </w:r>
            <w:r w:rsidRPr="00A108CD">
              <w:rPr>
                <w:rFonts w:asciiTheme="minorHAnsi" w:eastAsia="Times New Roman" w:hAnsiTheme="minorHAnsi" w:cstheme="minorHAnsi"/>
              </w:rPr>
              <w:t>Datum předložení dokumentace k závěrečnému vyhodnocení akce na ŘO IROP (podání Žádosti o platbu) předchází datu 30. 6. 2025.  Od tohoto data se odvíjí Nejzazší datum ukončení realizace projektu, které musí být nastaveno na 20 pracovních dní před tímto datem. Cílem kritéria j</w:t>
            </w:r>
            <w:r w:rsidRPr="00A108CD">
              <w:rPr>
                <w:rFonts w:asciiTheme="minorHAnsi" w:hAnsiTheme="minorHAnsi" w:cstheme="minorHAnsi"/>
              </w:rPr>
              <w:t xml:space="preserve">e podpořit projekty, které povedou k zajištění dodržování finančního plánu ŘO IROP. </w:t>
            </w:r>
          </w:p>
          <w:p w14:paraId="662EA101" w14:textId="77777777" w:rsidR="00915A68" w:rsidRPr="00A108CD" w:rsidRDefault="00915A68" w:rsidP="002726AC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Body </w:t>
            </w:r>
            <w:r w:rsidRPr="00A108CD">
              <w:rPr>
                <w:rFonts w:asciiTheme="minorHAnsi" w:eastAsia="Times New Roman" w:hAnsiTheme="minorHAnsi" w:cstheme="minorHAnsi"/>
              </w:rPr>
              <w:t xml:space="preserve">budou přiděleny na základě data uvedeného v projektovém záměru žadatele v poslední verzi dokumentu po ukončení formální fáze hodnocení. </w:t>
            </w:r>
          </w:p>
          <w:p w14:paraId="0993446B" w14:textId="7C529D6D" w:rsidR="00915A68" w:rsidRPr="00A108CD" w:rsidRDefault="00915A68" w:rsidP="00C868E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eastAsia="Times New Roman" w:hAnsiTheme="minorHAnsi" w:cstheme="minorHAnsi"/>
              </w:rPr>
              <w:t>Pokud bude žadatel nárokovat body za dřívější ukončení realizace projektu, nebude možné již provádět žádosti o změnu ukončení realizace projektu, v nichž by Datum předložení dokumentace k závěrečnému vyhodnocení akce na ŘO IROP (podání Žádosti o platbu) překročilo datum 30. 6. 2025.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BCE47" w14:textId="77777777" w:rsidR="00915A68" w:rsidRPr="00A108CD" w:rsidRDefault="00915A68" w:rsidP="002726AC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CB5D6" w14:textId="77777777" w:rsidR="00915A68" w:rsidRPr="00A108CD" w:rsidRDefault="00915A68" w:rsidP="002726AC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C94" w:rsidRPr="00A108CD" w14:paraId="536CD3B7" w14:textId="13388A31" w:rsidTr="00FB37AB">
        <w:trPr>
          <w:gridAfter w:val="2"/>
          <w:wAfter w:w="18" w:type="dxa"/>
          <w:trHeight w:val="18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95AD" w14:textId="77777777" w:rsidR="00915A68" w:rsidRPr="00A108CD" w:rsidRDefault="00915A6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CCE9C9" w14:textId="12A4B545" w:rsidR="00915A68" w:rsidRPr="00A108CD" w:rsidRDefault="00915A68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</w:rPr>
            </w:pPr>
            <w:r w:rsidRPr="00A108CD">
              <w:rPr>
                <w:rFonts w:asciiTheme="minorHAnsi" w:eastAsia="Times New Roman" w:hAnsiTheme="minorHAnsi" w:cstheme="minorHAnsi"/>
              </w:rPr>
              <w:t>Žadatel neuvedl ve formuláři projektového záměru, v části Datum předložení dokumentace k závěrečnému vyhodnocení akce na ŘO IROP (podání Žádosti o platbu), datum předcházející datu 30. 6.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98FE" w14:textId="347A01E5" w:rsidR="00915A68" w:rsidRPr="00A108CD" w:rsidRDefault="00915A6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FB01" w14:textId="77777777" w:rsidR="00915A68" w:rsidRPr="00A108CD" w:rsidRDefault="00915A6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07B7" w14:textId="77777777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31C" w14:textId="77777777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D28" w14:textId="77777777" w:rsidR="00915A68" w:rsidRPr="00A108CD" w:rsidRDefault="00915A6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10C6" w:rsidRPr="00A108CD" w14:paraId="4008C901" w14:textId="38A9330C" w:rsidTr="00A9571E">
        <w:trPr>
          <w:gridAfter w:val="1"/>
          <w:wAfter w:w="10" w:type="dxa"/>
          <w:trHeight w:val="63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B44AB" w14:textId="77777777" w:rsidR="006D10C6" w:rsidRPr="00A108CD" w:rsidRDefault="006D10C6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83597" w14:textId="62E228ED" w:rsidR="006D10C6" w:rsidRPr="00A108CD" w:rsidRDefault="006D10C6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Výstupy z projektu budou sloužit také k mimoškolním a zájmovým aktivitám dětí a mládeže během udržitelnosti projektu</w:t>
            </w:r>
          </w:p>
        </w:tc>
      </w:tr>
      <w:tr w:rsidR="0072309A" w:rsidRPr="00A108CD" w14:paraId="69ED821E" w14:textId="11CCC0B8" w:rsidTr="00FB37AB">
        <w:trPr>
          <w:gridAfter w:val="2"/>
          <w:wAfter w:w="18" w:type="dxa"/>
          <w:trHeight w:val="399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FB9D" w14:textId="77777777" w:rsidR="0072309A" w:rsidRPr="00A108CD" w:rsidRDefault="0072309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87E1E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Výstupy z projektu budou sloužit také k mimoškolním a zájmovým aktivitám dětí a mládeže.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B14B2" w14:textId="0F7B60FE" w:rsidR="0072309A" w:rsidRPr="00A108CD" w:rsidRDefault="0072309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0DF38" w14:textId="4E4073D2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Dohoda o využívání výstupu projektu/ Čestné prohlášení o realizaci mimoškolních a zájmových aktivit dětí a mládeže</w:t>
            </w:r>
          </w:p>
          <w:p w14:paraId="6A55DBA9" w14:textId="7D3F8CFE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8DE2D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Kritérium hodnotí, jestli výstupy z projektu budou sloužit také k mimoškolním a zájmovým aktivitám dětí a mládeže bez ohledu na rozsah využívání. </w:t>
            </w:r>
          </w:p>
          <w:p w14:paraId="49B211BA" w14:textId="041892B1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Mimoškolní a zájmového aktivity mohou být realizovány přímo žadatelem (nebo kolou, v níž bude projekt realizován), jeho příspěvkovou organizací nebo jinou právnickou osobou na základě dohody o využívání výstupu projektu. </w:t>
            </w:r>
          </w:p>
          <w:p w14:paraId="0F7700FF" w14:textId="6CBBB563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Využívání výstupů jinou právnickou osobou nesmí být tomuto subjektu zpoplatněno, vyjma nezbytných nákladů na jejich provoz a zpřístupnění (energie, úklid apod.). </w:t>
            </w:r>
          </w:p>
          <w:p w14:paraId="782A96DD" w14:textId="7CDB7C48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Podpořená infrastruktura může být využívána pro tento účel do maximálně 25 %  celkové roční časové kapacity pro možné využití. Pro hospodářskou činnost školy může být využívána maximálně do 20% celkové roční časové kapacity pro možné využití. Tato procenta můžou být upravena změnou Pravidel ze strany Řídícího orgánu. V případě změny platí informace uvedené v aktuálně platných Pravidlech. </w:t>
            </w:r>
          </w:p>
          <w:p w14:paraId="636DF4C0" w14:textId="4F37BA8A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Bodové hodnocení je přiděleno na základě doložení/nedoložení požadovaných příloh. Kritérium je hodnoceno ke dni ukončení administrativní fáze posouzení souladu projektového záměru se SCLLD. </w:t>
            </w:r>
          </w:p>
          <w:p w14:paraId="0094C894" w14:textId="10157890" w:rsidR="0072309A" w:rsidRPr="00A108CD" w:rsidRDefault="0072309A" w:rsidP="002E1629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Pro dohodu o využívání výstupu projektu není zpracován vzor (je možné doložit jakýkoliv dokument splňující požadavky dohody), v případě dokládání Čestného prohlášení o realizaci mimoškolních a zájmových aktivit dětí a mládeže, musí být </w:t>
            </w:r>
            <w:r w:rsidRPr="00A108CD">
              <w:rPr>
                <w:rFonts w:asciiTheme="minorHAnsi" w:eastAsia="Times New Roman" w:hAnsiTheme="minorHAnsi" w:cstheme="minorHAnsi"/>
              </w:rPr>
              <w:t>použit vzor dokumentu, který je přílohou Výzvy.</w:t>
            </w:r>
          </w:p>
          <w:p w14:paraId="3D5B7A59" w14:textId="77777777" w:rsidR="0072309A" w:rsidRPr="00A108CD" w:rsidRDefault="0072309A" w:rsidP="002E16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  <w:p w14:paraId="7AD8CAEB" w14:textId="7448EF5C" w:rsidR="0072309A" w:rsidRPr="00A108CD" w:rsidRDefault="0072309A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Pro prokázání naplnění tohoto preferenčního kritéria věcné fáze procesu souladu projektového záměru se SCLLD žadatel na vyžádání MAS doloží stručnou zprávu o realizaci mimoškolních a zájmových aktivit dětí a mládeže podepsanou statutárním zástupcem školy, v níž bude projekt realizován obsahující min. jednu fotografii dokumentující realizaci mimoškolních a zájmových aktivit dětí a mládeže.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E291D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04AB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2309A" w:rsidRPr="00A108CD" w14:paraId="129B0D12" w14:textId="56620C4E" w:rsidTr="00FB37AB">
        <w:trPr>
          <w:gridAfter w:val="2"/>
          <w:wAfter w:w="18" w:type="dxa"/>
          <w:trHeight w:val="408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6B4" w14:textId="77777777" w:rsidR="0072309A" w:rsidRPr="00A108CD" w:rsidRDefault="0072309A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EF042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Výstupy z projektu nebudou sloužit k mimoškolním a zájmovým aktivitám dětí a mládeže.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D7C9" w14:textId="0B44B2F7" w:rsidR="0072309A" w:rsidRPr="00A108CD" w:rsidRDefault="0072309A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229E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EF71E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B5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3AA" w14:textId="77777777" w:rsidR="0072309A" w:rsidRPr="00A108CD" w:rsidRDefault="0072309A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D10C6" w:rsidRPr="00A108CD" w14:paraId="6CE43270" w14:textId="435686BE" w:rsidTr="00953845">
        <w:trPr>
          <w:gridAfter w:val="1"/>
          <w:wAfter w:w="10" w:type="dxa"/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68DD" w14:textId="5BBB4148" w:rsidR="006D10C6" w:rsidRPr="00A108CD" w:rsidRDefault="006D10C6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BF386" w14:textId="6830FC73" w:rsidR="006D10C6" w:rsidRPr="00A108CD" w:rsidRDefault="006D10C6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Spolupráce základní školy s dalšími organizacemi, odborníky z praxe během udržitelnosti projektu</w:t>
            </w:r>
          </w:p>
        </w:tc>
      </w:tr>
      <w:tr w:rsidR="00111C94" w:rsidRPr="00A108CD" w14:paraId="7C91422A" w14:textId="533A46FA" w:rsidTr="00FB37AB">
        <w:trPr>
          <w:gridAfter w:val="2"/>
          <w:wAfter w:w="18" w:type="dxa"/>
          <w:trHeight w:val="245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93DF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9B584" w14:textId="6ED3DE2B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Škola, v níž bude projekt realizován, se zavázala Dohodou o spolupráci ke spolupráci s jinou organizací, nebo odborníkem z praxe, vedoucí k efektivnějšímu využívání výstupů projektu.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56B2F" w14:textId="39B3D66E" w:rsidR="006410E8" w:rsidRPr="00A108CD" w:rsidRDefault="006410E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DC903" w14:textId="2E5B34A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eastAsia="Arial" w:hAnsiTheme="minorHAnsi" w:cstheme="minorHAnsi"/>
              </w:rPr>
              <w:t>Dohoda o spolupráci</w:t>
            </w:r>
          </w:p>
        </w:tc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2521B" w14:textId="57C6CDA6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Kritérium hodnotí, jestli díky projektu vznikne nebo bude udržována vzájemná spolupráce školy s jiným organizacemi nebo odborníky z praxe za účelem efektivnějšího využívání výstupů projektu v době udržitelnosti projektu. </w:t>
            </w:r>
          </w:p>
          <w:p w14:paraId="0B0F0B08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Za odborníka z praxe je považována osoba, která se tématem dlouhodobě zabývá. Jinou organizací může být i např. jiná škola, nezisková organizace apod.</w:t>
            </w:r>
          </w:p>
          <w:p w14:paraId="31A8E442" w14:textId="0C41060C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Popis spolupráce v dohodě o spolupráci musí naplňovat následující charakteristiky:</w:t>
            </w:r>
          </w:p>
          <w:p w14:paraId="7A868E38" w14:textId="14DB5FC2" w:rsidR="006410E8" w:rsidRPr="00A108CD" w:rsidRDefault="006410E8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Spolupráce povede k efektivnějšímu využívání výstupu projektu </w:t>
            </w:r>
          </w:p>
          <w:p w14:paraId="77634DF5" w14:textId="1354CDC0" w:rsidR="006410E8" w:rsidRPr="00A108CD" w:rsidRDefault="006410E8" w:rsidP="0005240F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Spolupráce probíhá bez nároku na finanční odměnu</w:t>
            </w:r>
          </w:p>
          <w:p w14:paraId="191E36EC" w14:textId="66F5A0DA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Pro naplnění preferenčního kritéria stačí uskutečnění min. 1 aktivity spolupráce vymezené dohodou o spolupráci v době od zahájení realizace projektu do ukončení doby udržitelnosti projektu.</w:t>
            </w:r>
          </w:p>
          <w:p w14:paraId="498B7776" w14:textId="77777777" w:rsidR="006410E8" w:rsidRPr="00A108CD" w:rsidRDefault="006410E8" w:rsidP="00F7159A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Bodové hodnocení je přiděleno na základě doložení/nedoložení požadovaných příloh. Kritérium je hodnoceno ke dni ukončení administrativní fáze posouzení souladu projektového záměru se SCLLD.</w:t>
            </w:r>
          </w:p>
          <w:p w14:paraId="2912B66E" w14:textId="77777777" w:rsidR="006410E8" w:rsidRPr="00A108CD" w:rsidRDefault="006410E8" w:rsidP="002E1629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Pro dohodu o spolupráci není zpracován vzor (je možné doložit jakýkoliv dokument splňující požadavky dohody).</w:t>
            </w:r>
          </w:p>
          <w:p w14:paraId="4DED5A79" w14:textId="77777777" w:rsidR="006410E8" w:rsidRPr="00A108CD" w:rsidRDefault="006410E8" w:rsidP="00636892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  <w:p w14:paraId="1DE530E3" w14:textId="0897370D" w:rsidR="006410E8" w:rsidRPr="00A108CD" w:rsidRDefault="006410E8" w:rsidP="007E668D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Pro prokázání naplnění tohoto preferenčního kritéria věcné fáze procesu souladu projektového záměru se SCLLD žadatel na vyžádání MAS doloží stručnou zprávu o spolupráci podepsanou statutárním zástupcem školy, v níž bude projekt realizován, obsahující min. jednu fotografii dokumentující realizaci spolupráce.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943D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1C2DA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C94" w:rsidRPr="00A108CD" w14:paraId="0EC8FF07" w14:textId="0D5D23D4" w:rsidTr="00FB37AB">
        <w:trPr>
          <w:gridAfter w:val="2"/>
          <w:wAfter w:w="18" w:type="dxa"/>
          <w:trHeight w:val="3997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C50B" w14:textId="77777777" w:rsidR="006410E8" w:rsidRPr="00A108CD" w:rsidRDefault="006410E8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B15A2" w14:textId="516F152C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Škola, v níž bude projekt realizován, se nezavázal ke spolupráci vedoucí k efektivnějšímu využívání výstupů projektu.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9AB23" w14:textId="43360783" w:rsidR="006410E8" w:rsidRPr="00A108CD" w:rsidRDefault="006410E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73BE7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1CCC2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845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E98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D10C6" w:rsidRPr="00A108CD" w14:paraId="5251BA15" w14:textId="71EC47FF" w:rsidTr="009065AC">
        <w:trPr>
          <w:gridAfter w:val="1"/>
          <w:wAfter w:w="10" w:type="dxa"/>
          <w:trHeight w:val="8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3C57E" w14:textId="0277E2BD" w:rsidR="006D10C6" w:rsidRPr="00A108CD" w:rsidRDefault="006D10C6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2E61E" w14:textId="335A67B7" w:rsidR="006D10C6" w:rsidRPr="00A108CD" w:rsidRDefault="006D10C6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 xml:space="preserve">Základní škola, v níž bude projekt realizován, se zaváže k absolvování vzdělávání zaměřeného na téma pedagogického </w:t>
            </w:r>
            <w:proofErr w:type="spellStart"/>
            <w:r w:rsidRPr="00A108CD">
              <w:rPr>
                <w:rFonts w:asciiTheme="minorHAnsi" w:hAnsiTheme="minorHAnsi" w:cstheme="minorHAnsi"/>
                <w:b/>
              </w:rPr>
              <w:t>Leadershipu</w:t>
            </w:r>
            <w:proofErr w:type="spellEnd"/>
            <w:r w:rsidRPr="00A108CD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  <w:tr w:rsidR="00FB37AB" w:rsidRPr="00A108CD" w14:paraId="1575F866" w14:textId="6E92D6B3" w:rsidTr="0078042E">
        <w:trPr>
          <w:gridAfter w:val="2"/>
          <w:wAfter w:w="18" w:type="dxa"/>
          <w:trHeight w:val="46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174" w14:textId="77777777" w:rsidR="00FB37AB" w:rsidRPr="00A108CD" w:rsidRDefault="00FB37AB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3A894" w14:textId="3FDA7D92" w:rsidR="00FB37AB" w:rsidRPr="00A108CD" w:rsidRDefault="00FB37AB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Základní škola, v níž bude projekt realizován, se zavázala k absolvování vzdělávání zaměřeného na téma pedagogického </w:t>
            </w:r>
            <w:proofErr w:type="spellStart"/>
            <w:r w:rsidRPr="00A108CD">
              <w:rPr>
                <w:rFonts w:asciiTheme="minorHAnsi" w:hAnsiTheme="minorHAnsi" w:cstheme="minorHAnsi"/>
              </w:rPr>
              <w:t>Leadershipu</w:t>
            </w:r>
            <w:proofErr w:type="spellEnd"/>
            <w:r w:rsidRPr="00A108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6FA67" w14:textId="2A9F0934" w:rsidR="00FB37AB" w:rsidRPr="00A108CD" w:rsidRDefault="00FB37AB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10394" w14:textId="7FF8E60B" w:rsidR="00FB37AB" w:rsidRPr="00A108CD" w:rsidRDefault="00FB37AB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eastAsia="Arial" w:hAnsiTheme="minorHAnsi" w:cstheme="minorHAnsi"/>
              </w:rPr>
              <w:t xml:space="preserve">Čestné prohlášení o závazku k absolvování vzdělávání v oblasti pedagogického </w:t>
            </w:r>
            <w:proofErr w:type="spellStart"/>
            <w:r w:rsidRPr="00A108CD">
              <w:rPr>
                <w:rFonts w:asciiTheme="minorHAnsi" w:eastAsia="Arial" w:hAnsiTheme="minorHAnsi" w:cstheme="minorHAnsi"/>
              </w:rPr>
              <w:t>Leadershipu</w:t>
            </w:r>
            <w:proofErr w:type="spellEnd"/>
          </w:p>
        </w:tc>
        <w:tc>
          <w:tcPr>
            <w:tcW w:w="8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0F245" w14:textId="7B8149E9" w:rsidR="00FB37AB" w:rsidRPr="00A108CD" w:rsidRDefault="00FB37AB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Kritérium hodnotí, zda se základní škola, v níž bude projekt realizován, zaváže k absolvování vzdělávání zaměřeného na téma pedagogického </w:t>
            </w:r>
            <w:proofErr w:type="spellStart"/>
            <w:r w:rsidRPr="00A108CD">
              <w:rPr>
                <w:rFonts w:asciiTheme="minorHAnsi" w:hAnsiTheme="minorHAnsi" w:cstheme="minorHAnsi"/>
              </w:rPr>
              <w:t>Leadershipu</w:t>
            </w:r>
            <w:proofErr w:type="spellEnd"/>
            <w:r w:rsidRPr="00A108CD">
              <w:rPr>
                <w:rFonts w:asciiTheme="minorHAnsi" w:hAnsiTheme="minorHAnsi" w:cstheme="minorHAnsi"/>
              </w:rPr>
              <w:t xml:space="preserve">. Pedagogický </w:t>
            </w:r>
            <w:proofErr w:type="spellStart"/>
            <w:r w:rsidRPr="00A108CD">
              <w:rPr>
                <w:rFonts w:asciiTheme="minorHAnsi" w:hAnsiTheme="minorHAnsi" w:cstheme="minorHAnsi"/>
              </w:rPr>
              <w:t>leadership</w:t>
            </w:r>
            <w:proofErr w:type="spellEnd"/>
            <w:r w:rsidRPr="00A108CD">
              <w:rPr>
                <w:rFonts w:asciiTheme="minorHAnsi" w:hAnsiTheme="minorHAnsi" w:cstheme="minorHAnsi"/>
              </w:rPr>
              <w:t xml:space="preserve"> (v angličtině </w:t>
            </w:r>
            <w:hyperlink r:id="rId7" w:tooltip="en:Educational leadership" w:history="1">
              <w:r w:rsidRPr="00A108CD">
                <w:rPr>
                  <w:rFonts w:asciiTheme="minorHAnsi" w:hAnsiTheme="minorHAnsi" w:cstheme="minorHAnsi"/>
                </w:rPr>
                <w:t>educational leadership</w:t>
              </w:r>
            </w:hyperlink>
            <w:r w:rsidRPr="00A108CD">
              <w:rPr>
                <w:rFonts w:asciiTheme="minorHAnsi" w:hAnsiTheme="minorHAnsi" w:cstheme="minorHAnsi"/>
              </w:rPr>
              <w:t xml:space="preserve">) ve vzdělávání je proces, který spočívá v zapojení a vedení talentů a energie učitelů, žáků a rodičů k dosažení společných vzdělávacích cílů více k definici: </w:t>
            </w:r>
            <w:hyperlink r:id="rId8" w:history="1">
              <w:r w:rsidRPr="00A108CD">
                <w:rPr>
                  <w:rStyle w:val="Hypertextovodkaz"/>
                  <w:rFonts w:asciiTheme="minorHAnsi" w:hAnsiTheme="minorHAnsi" w:cstheme="minorHAnsi"/>
                </w:rPr>
                <w:t>https://cs.wikipedia.org/wiki/Pedagogick%C3%BD_leadership</w:t>
              </w:r>
            </w:hyperlink>
            <w:r w:rsidRPr="00A108CD">
              <w:rPr>
                <w:rFonts w:asciiTheme="minorHAnsi" w:hAnsiTheme="minorHAnsi" w:cstheme="minorHAnsi"/>
              </w:rPr>
              <w:t>).</w:t>
            </w:r>
          </w:p>
          <w:p w14:paraId="29FD570C" w14:textId="7AA276B2" w:rsidR="00FB37AB" w:rsidRPr="00A108CD" w:rsidRDefault="00FB37AB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Pro naplnění preferenčního kritéria stačí, když se vzdělávání v oblasti pedagogického </w:t>
            </w:r>
            <w:proofErr w:type="spellStart"/>
            <w:r w:rsidRPr="00A108CD">
              <w:rPr>
                <w:rFonts w:asciiTheme="minorHAnsi" w:hAnsiTheme="minorHAnsi" w:cstheme="minorHAnsi"/>
              </w:rPr>
              <w:t>Leadershipu</w:t>
            </w:r>
            <w:proofErr w:type="spellEnd"/>
            <w:r w:rsidRPr="00A108CD">
              <w:rPr>
                <w:rFonts w:asciiTheme="minorHAnsi" w:hAnsiTheme="minorHAnsi" w:cstheme="minorHAnsi"/>
              </w:rPr>
              <w:t xml:space="preserve"> zúčastní jeden pedagogický pracovník do konce realizace projektu. </w:t>
            </w:r>
          </w:p>
          <w:p w14:paraId="45B086BF" w14:textId="6B6ACD6F" w:rsidR="00FB37AB" w:rsidRPr="00A108CD" w:rsidRDefault="00FB37AB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Vzdělávání na toto téma bude organizováno také bezplatně ze strany MAS. Je však možné absolvovat vzdělávání u jakékoliv organizace poskytující vzdělávání na toto téma.</w:t>
            </w:r>
          </w:p>
          <w:p w14:paraId="117DC212" w14:textId="77777777" w:rsidR="00FB37AB" w:rsidRPr="00A108CD" w:rsidRDefault="00FB37AB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Bodové hodnocení je přiděleno na základě doložení/nedoložení požadované přílohy. Kritérium je hodnoceno ke dni ukončení administrativní fáze posouzení souladu projektového záměru se SCLLD.</w:t>
            </w:r>
          </w:p>
          <w:p w14:paraId="208AF958" w14:textId="77777777" w:rsidR="00FB37AB" w:rsidRPr="00A108CD" w:rsidRDefault="00FB37AB" w:rsidP="00636892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  <w:p w14:paraId="7A832D83" w14:textId="14F54D4F" w:rsidR="00FB37AB" w:rsidRPr="00A108CD" w:rsidRDefault="00FB37AB" w:rsidP="0045508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Pro prokázání naplnění tohoto preferenčního kritéria věcné fáze procesu souladu projektového záměru se SCLLD žadatel na vyžádání MAS doloží například: osvědčení o </w:t>
            </w:r>
            <w:r w:rsidRPr="00A108CD">
              <w:rPr>
                <w:rFonts w:asciiTheme="minorHAnsi" w:eastAsia="Arial" w:hAnsiTheme="minorHAnsi" w:cstheme="minorHAnsi"/>
              </w:rPr>
              <w:t xml:space="preserve">absolvování vzdělávání v oblasti pedagogického </w:t>
            </w:r>
            <w:proofErr w:type="spellStart"/>
            <w:r w:rsidRPr="00A108CD">
              <w:rPr>
                <w:rFonts w:asciiTheme="minorHAnsi" w:eastAsia="Arial" w:hAnsiTheme="minorHAnsi" w:cstheme="minorHAnsi"/>
              </w:rPr>
              <w:t>Leadershipu</w:t>
            </w:r>
            <w:proofErr w:type="spellEnd"/>
            <w:r w:rsidRPr="00A108CD">
              <w:rPr>
                <w:rFonts w:asciiTheme="minorHAnsi" w:eastAsia="Arial" w:hAnsiTheme="minorHAnsi" w:cstheme="minorHAnsi"/>
              </w:rPr>
              <w:t xml:space="preserve"> pedagogického pracovníka základní školy, v níž bude projekt realizován, nebo fakturu prokazující zaplacení vzdělávání zaměřené na absolvování vzdělávání v oblasti pedagogického </w:t>
            </w:r>
            <w:proofErr w:type="spellStart"/>
            <w:r w:rsidRPr="00A108CD">
              <w:rPr>
                <w:rFonts w:asciiTheme="minorHAnsi" w:eastAsia="Arial" w:hAnsiTheme="minorHAnsi" w:cstheme="minorHAnsi"/>
              </w:rPr>
              <w:t>Leadershipu</w:t>
            </w:r>
            <w:proofErr w:type="spellEnd"/>
            <w:r w:rsidRPr="00A108CD">
              <w:rPr>
                <w:rFonts w:asciiTheme="minorHAnsi" w:eastAsia="Arial" w:hAnsiTheme="minorHAnsi" w:cstheme="minorHAnsi"/>
              </w:rPr>
              <w:t xml:space="preserve">, nebo prohlášení poskytovatele vzdělávání o tom, že pedagogický pracovník základní školy, v níž bude projekt realizován, absolvoval vzdělávání v oblasti pedagogického </w:t>
            </w:r>
            <w:proofErr w:type="spellStart"/>
            <w:r w:rsidRPr="00A108CD">
              <w:rPr>
                <w:rFonts w:asciiTheme="minorHAnsi" w:eastAsia="Arial" w:hAnsiTheme="minorHAnsi" w:cstheme="minorHAnsi"/>
              </w:rPr>
              <w:t>Leadershipu</w:t>
            </w:r>
            <w:proofErr w:type="spellEnd"/>
            <w:r w:rsidRPr="00A108CD">
              <w:rPr>
                <w:rFonts w:asciiTheme="minorHAnsi" w:eastAsia="Arial" w:hAnsiTheme="minorHAnsi" w:cstheme="minorHAnsi"/>
              </w:rPr>
              <w:t>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36DFE" w14:textId="77777777" w:rsidR="00FB37AB" w:rsidRPr="00A108CD" w:rsidRDefault="00FB37AB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38E03" w14:textId="77777777" w:rsidR="00FB37AB" w:rsidRPr="00A108CD" w:rsidRDefault="00FB37AB" w:rsidP="00CD571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B37AB" w:rsidRPr="00A108CD" w14:paraId="4A22826A" w14:textId="44ABBBAB" w:rsidTr="0078042E">
        <w:trPr>
          <w:gridAfter w:val="2"/>
          <w:wAfter w:w="18" w:type="dxa"/>
          <w:trHeight w:val="358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B409" w14:textId="77777777" w:rsidR="00FB37AB" w:rsidRPr="00A108CD" w:rsidRDefault="00FB37AB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187AD" w14:textId="7DBA7167" w:rsidR="00FB37AB" w:rsidRPr="00A108CD" w:rsidRDefault="00FB37AB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Základní škola, v níž bude projekt realizován, se nezavázala k absolvování vzdělávání zaměřeného na téma pedagogického </w:t>
            </w:r>
            <w:proofErr w:type="spellStart"/>
            <w:r w:rsidRPr="00A108CD">
              <w:rPr>
                <w:rFonts w:asciiTheme="minorHAnsi" w:hAnsiTheme="minorHAnsi" w:cstheme="minorHAnsi"/>
              </w:rPr>
              <w:t>Leadershipu</w:t>
            </w:r>
            <w:proofErr w:type="spellEnd"/>
            <w:r w:rsidRPr="00A108C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EB97B" w14:textId="2CDD85CF" w:rsidR="00FB37AB" w:rsidRPr="00A108CD" w:rsidRDefault="00FB37AB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EA861" w14:textId="77777777" w:rsidR="00FB37AB" w:rsidRPr="00A108CD" w:rsidRDefault="00FB37AB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E8573" w14:textId="77777777" w:rsidR="00FB37AB" w:rsidRPr="00A108CD" w:rsidRDefault="00FB37AB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276" w14:textId="77777777" w:rsidR="00FB37AB" w:rsidRPr="00A108CD" w:rsidRDefault="00FB37AB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9E7" w14:textId="77777777" w:rsidR="00FB37AB" w:rsidRPr="00A108CD" w:rsidRDefault="00FB37AB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D10C6" w:rsidRPr="00A108CD" w14:paraId="7A12EB67" w14:textId="64C4B108" w:rsidTr="00941BE8">
        <w:trPr>
          <w:gridAfter w:val="1"/>
          <w:wAfter w:w="10" w:type="dxa"/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DA6B8" w14:textId="1086B054" w:rsidR="006D10C6" w:rsidRPr="00A108CD" w:rsidRDefault="006D10C6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86FFF" w14:textId="499451B2" w:rsidR="006D10C6" w:rsidRPr="00A108CD" w:rsidRDefault="006D10C6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 xml:space="preserve">Součástí projektového záměru, v rozpočtu projektu - v přímých výdajích jsou výdaje určené na zajištění bezbariérovosti tak, aby byl splněn základní požadavek na bezbariérovost projektu podpořeného z IROP </w:t>
            </w:r>
          </w:p>
        </w:tc>
      </w:tr>
      <w:tr w:rsidR="00111C94" w:rsidRPr="00A108CD" w14:paraId="268A164B" w14:textId="6C7D7FA5" w:rsidTr="00FB37AB">
        <w:trPr>
          <w:gridAfter w:val="2"/>
          <w:wAfter w:w="18" w:type="dxa"/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C544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A812B" w14:textId="3C11D619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Součástí projektového záměru, v rozpočtu projektu - v přímých výdajích jsou výdaje určené na zajištění bezbariérovosti tak, aby byl splněn základní požadavek na bezbariérovost projektu podpořeného z IROP.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A22B1" w14:textId="2086CB83" w:rsidR="006410E8" w:rsidRPr="00A108CD" w:rsidRDefault="006410E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41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1B27F" w14:textId="7685113E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eastAsia="Arial" w:hAnsiTheme="minorHAnsi" w:cstheme="minorHAnsi"/>
              </w:rPr>
              <w:t>Rozpočet projektového záměru</w:t>
            </w:r>
          </w:p>
        </w:tc>
        <w:tc>
          <w:tcPr>
            <w:tcW w:w="8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4F5E0" w14:textId="2E8D4CFD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Kritérium hodnotí, zda součástí projektového záměru, v rozpočtu projektu (v poslední verzi dokumentu po ukončení formální fáze) - v přímých výdajích jsou výdaje určené na zajištění bezbariérovosti tak, aby byl splněn základní požadavek na bezbariérovost projektu podpořeného z IROP. </w:t>
            </w:r>
          </w:p>
          <w:p w14:paraId="7DCF5734" w14:textId="234A6B4E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Body budou přiděleny v případě, že v rozpočtu projektového záměru v přímých výdajích jsou výdaje určené na zajištění bezbariérovosti.</w:t>
            </w:r>
          </w:p>
          <w:p w14:paraId="4EC995F1" w14:textId="74531983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Kritérium je hodnoceno ke dni ukončení administrativní fáze posouzení souladu projektového záměru se SCLLD.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14:paraId="5C87EF14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</w:tcPr>
          <w:p w14:paraId="2596E05E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C94" w:rsidRPr="00A108CD" w14:paraId="06E91262" w14:textId="282A40B4" w:rsidTr="00FB37AB">
        <w:trPr>
          <w:gridAfter w:val="2"/>
          <w:wAfter w:w="18" w:type="dxa"/>
          <w:trHeight w:val="2454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5B1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41FC4" w14:textId="3BE420A6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Součástí projektového záměru, v rozpočtu projektu - v přímých výdajích nejsou výdaje určené na zajištění bezbariérovosti tak, aby byl splněn základní požadavek na bezbariérovost projektu podpořeného z IROP.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36FF9" w14:textId="32F148E9" w:rsidR="006410E8" w:rsidRPr="00A108CD" w:rsidRDefault="006410E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B5C84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906DD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6D3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8F6" w14:textId="77777777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D10C6" w:rsidRPr="00A108CD" w14:paraId="33D32177" w14:textId="5AC1C1D2" w:rsidTr="00F35539">
        <w:trPr>
          <w:gridAfter w:val="1"/>
          <w:wAfter w:w="10" w:type="dxa"/>
          <w:trHeight w:val="196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8CE5B" w14:textId="3CDFD807" w:rsidR="006D10C6" w:rsidRPr="00A108CD" w:rsidRDefault="006D10C6" w:rsidP="001534B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358A40" w14:textId="406A27AE" w:rsidR="006D10C6" w:rsidRPr="00A108CD" w:rsidRDefault="006D10C6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 xml:space="preserve">Výše celkových způsobilých výdajů, ze kterých je stanovena dotace. </w:t>
            </w:r>
          </w:p>
        </w:tc>
      </w:tr>
      <w:tr w:rsidR="00111C94" w:rsidRPr="00A108CD" w14:paraId="0EC4B2F9" w14:textId="5F05A7D8" w:rsidTr="00FB37AB">
        <w:trPr>
          <w:gridAfter w:val="2"/>
          <w:wAfter w:w="18" w:type="dxa"/>
          <w:trHeight w:val="129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C281" w14:textId="77777777" w:rsidR="006410E8" w:rsidRPr="00A108CD" w:rsidRDefault="006410E8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8AFAC" w14:textId="654C8EA3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Celkové způsobilé výdaje, ze kterých je stanovena dotace, jsou ve výši do 3 000 000 Kč včetně.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2709" w14:textId="69510391" w:rsidR="006410E8" w:rsidRPr="00A108CD" w:rsidRDefault="006410E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41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E5E08" w14:textId="067BD20D" w:rsidR="006410E8" w:rsidRPr="00A108CD" w:rsidRDefault="006410E8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eastAsia="Arial" w:hAnsiTheme="minorHAnsi" w:cstheme="minorHAnsi"/>
              </w:rPr>
              <w:t>Rozpočet projektového záměru</w:t>
            </w:r>
          </w:p>
        </w:tc>
        <w:tc>
          <w:tcPr>
            <w:tcW w:w="8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10CA" w14:textId="075DE4CD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Bude posuzována výše celkových způsobilých výdajů projektu uvedených v rozpočtu k projektovému záměru. Cílem kritéria je zajistit větší hospodárnost. Body budou přiděleny projektům s celkovými způsobilými výdaji, ze kterých je stanovena dotace ve výši do 3 000 000 Kč včetně. </w:t>
            </w:r>
          </w:p>
          <w:p w14:paraId="7D0A49F8" w14:textId="0CA513FB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Kritérium je hodnoceno ke dni ukončení administrativní fáze posouzení souladu projektového záměru se SCLLD.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14:paraId="6B5628ED" w14:textId="77777777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</w:tcPr>
          <w:p w14:paraId="7704E733" w14:textId="77777777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C94" w:rsidRPr="00A108CD" w14:paraId="6139BDD3" w14:textId="122698A6" w:rsidTr="00FB37AB">
        <w:trPr>
          <w:gridAfter w:val="2"/>
          <w:wAfter w:w="18" w:type="dxa"/>
          <w:trHeight w:val="120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AE3D" w14:textId="77777777" w:rsidR="006410E8" w:rsidRPr="00A108CD" w:rsidRDefault="006410E8" w:rsidP="008A3FB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B1BDF" w14:textId="39C8F63E" w:rsidR="006410E8" w:rsidRPr="00A108CD" w:rsidRDefault="006410E8" w:rsidP="002F4C3B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Celkové způsobilé výdaje, ze kterých je stanovena dotace, jsou větší než 3 000 000 Kč.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1F50" w14:textId="6402B601" w:rsidR="006410E8" w:rsidRPr="00A108CD" w:rsidRDefault="006410E8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33014" w14:textId="77777777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85E63" w14:textId="77777777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A816" w14:textId="77777777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B5D" w14:textId="77777777" w:rsidR="006410E8" w:rsidRPr="00A108CD" w:rsidRDefault="006410E8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D10C6" w:rsidRPr="00A108CD" w14:paraId="03C5E412" w14:textId="347E6E6E" w:rsidTr="007B6112">
        <w:trPr>
          <w:gridAfter w:val="1"/>
          <w:wAfter w:w="10" w:type="dxa"/>
          <w:trHeight w:val="20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FCAE7" w14:textId="2F9C65A3" w:rsidR="006D10C6" w:rsidRPr="00A108CD" w:rsidRDefault="006D10C6" w:rsidP="008A3FB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186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F3E4F" w14:textId="454EE772" w:rsidR="006D10C6" w:rsidRPr="00A108CD" w:rsidRDefault="006D10C6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A108CD">
              <w:rPr>
                <w:rFonts w:asciiTheme="minorHAnsi" w:hAnsiTheme="minorHAnsi" w:cstheme="minorHAnsi"/>
                <w:b/>
              </w:rPr>
              <w:t>Realizace projektu rozšíří možnosti mimo frontálního vzdělávání ve škole, v níž bude projekt realizován.</w:t>
            </w:r>
          </w:p>
        </w:tc>
      </w:tr>
      <w:tr w:rsidR="00111C94" w:rsidRPr="00A108CD" w14:paraId="0FF44455" w14:textId="6DE6606C" w:rsidTr="00FB37AB">
        <w:trPr>
          <w:gridAfter w:val="2"/>
          <w:wAfter w:w="18" w:type="dxa"/>
          <w:trHeight w:val="333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6BA3" w14:textId="77777777" w:rsidR="006410E8" w:rsidRPr="00A108CD" w:rsidRDefault="006410E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3D338A" w14:textId="60A3556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Realizace projektu rozšíří možnosti mimo frontálního vzdělávání ve škole, v níž bude projekt realizován.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F217B" w14:textId="17BD510B" w:rsidR="006410E8" w:rsidRPr="00A108CD" w:rsidRDefault="006410E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41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3856" w14:textId="3F3F119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Formulář projektového záměru, </w:t>
            </w:r>
            <w:r w:rsidRPr="00A108CD">
              <w:rPr>
                <w:rFonts w:asciiTheme="minorHAnsi" w:eastAsia="Arial" w:hAnsiTheme="minorHAnsi" w:cstheme="minorHAnsi"/>
              </w:rPr>
              <w:t>Rozpočet projektového záměru</w:t>
            </w:r>
          </w:p>
        </w:tc>
        <w:tc>
          <w:tcPr>
            <w:tcW w:w="82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1D1E" w14:textId="7777777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Bude posuzováno, zda realizace projektu rozšíří možnosti mimo frontálního vzdělávání ve škole, v níž bude projekt realizován. </w:t>
            </w:r>
          </w:p>
          <w:p w14:paraId="5FED1C1A" w14:textId="7CC105B3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Při hodnocení bude vycházeno primárně z popisu aktivit projektového záměru, zdůvodnění potřebnosti a vyjádření ke kritériím hodnocení. Tyto informace žadatel uvede do formuláře projektového záměru. Současně budou ve vztahu ke kritériu zkoumány položky v rozpočtu projektového záměru a informace zde uvedené ve vztahu k naplnění preferenčního kritéria. </w:t>
            </w:r>
          </w:p>
          <w:p w14:paraId="28D40EBF" w14:textId="25DFF5B3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Frontální výuka je definována jako: „Způsob vyučování, v němž učitel pracuje hromadně se všemi žáky ve třídě jednou společnou formou, se stejným obsahem činnosti. Tomu odpovídá také uspořádání prostoru učebny (Průcha, Walterová, Mareš 2001). Frontální vyučování nesestává jen z výkladu učitele, řadíme do něj i učitelem zadanou a řízenou samostatnou práci, společnou kontrolu domácích či školních úkolů, rozhovor učitele s celou třídou, shrnutí učiva, poskytování zpětné vazby a hodnocení žákům. Pro negativní konotace je někdy frontální vyučování nahrazováno pojmem přímé vyučování.„ Za mimo frontální výuku bude považována jakýkoliv jiný způsob výuky, než je výuka frontální.</w:t>
            </w:r>
          </w:p>
          <w:p w14:paraId="1BE192F8" w14:textId="2083F47A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Kritérium je hodnoceno ke dni ukončení administrativní fáze posouzení souladu projektového záměru se SCLLD.</w:t>
            </w:r>
          </w:p>
          <w:p w14:paraId="3D520E1D" w14:textId="34B328AF" w:rsidR="006410E8" w:rsidRPr="00A108CD" w:rsidRDefault="006410E8" w:rsidP="00047264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 xml:space="preserve">V případě, že z referenčních dokumentů nebude jasně zřejmá informace, jak realizace projektu rozšíří možnosti mimo frontálního vzdělávání, </w:t>
            </w:r>
            <w:proofErr w:type="gramStart"/>
            <w:r w:rsidRPr="00A108CD">
              <w:rPr>
                <w:rFonts w:asciiTheme="minorHAnsi" w:hAnsiTheme="minorHAnsi" w:cstheme="minorHAnsi"/>
              </w:rPr>
              <w:t>bude</w:t>
            </w:r>
            <w:proofErr w:type="gramEnd"/>
            <w:r w:rsidRPr="00A108CD">
              <w:rPr>
                <w:rFonts w:asciiTheme="minorHAnsi" w:hAnsiTheme="minorHAnsi" w:cstheme="minorHAnsi"/>
              </w:rPr>
              <w:t xml:space="preserve"> ke kritériu </w:t>
            </w:r>
            <w:proofErr w:type="gramStart"/>
            <w:r w:rsidRPr="00A108CD">
              <w:rPr>
                <w:rFonts w:asciiTheme="minorHAnsi" w:hAnsiTheme="minorHAnsi" w:cstheme="minorHAnsi"/>
              </w:rPr>
              <w:t>přiděleno</w:t>
            </w:r>
            <w:proofErr w:type="gramEnd"/>
            <w:r w:rsidRPr="00A108CD">
              <w:rPr>
                <w:rFonts w:asciiTheme="minorHAnsi" w:hAnsiTheme="minorHAnsi" w:cstheme="minorHAnsi"/>
              </w:rPr>
              <w:t xml:space="preserve"> nula bodů.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14:paraId="28ECDC86" w14:textId="7777777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left w:val="single" w:sz="4" w:space="0" w:color="auto"/>
              <w:right w:val="single" w:sz="4" w:space="0" w:color="auto"/>
            </w:tcBorders>
          </w:tcPr>
          <w:p w14:paraId="3A0DF5A9" w14:textId="7777777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11C94" w:rsidRPr="00A108CD" w14:paraId="21BA8240" w14:textId="449639EC" w:rsidTr="00FB37AB">
        <w:trPr>
          <w:gridAfter w:val="2"/>
          <w:wAfter w:w="18" w:type="dxa"/>
          <w:trHeight w:val="2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7126" w14:textId="77777777" w:rsidR="006410E8" w:rsidRPr="00A108CD" w:rsidRDefault="006410E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7AD53" w14:textId="3C904709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Realizace projektu nerozšíří možnosti mimo frontálního vzdělávání ve škole, v níž bude projekt realizován.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11FEB" w14:textId="54DAC4F9" w:rsidR="006410E8" w:rsidRPr="00A108CD" w:rsidRDefault="006410E8" w:rsidP="00B569D8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A108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41" w:type="dxa"/>
            <w:vMerge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26140" w14:textId="7777777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996C9" w14:textId="7777777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1D6" w14:textId="7777777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14B" w14:textId="77777777" w:rsidR="006410E8" w:rsidRPr="00A108CD" w:rsidRDefault="006410E8" w:rsidP="00B569D8">
            <w:pPr>
              <w:widowControl w:val="0"/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6410E8" w:rsidRPr="00A108CD" w14:paraId="1F5069DB" w14:textId="6D8DACED" w:rsidTr="00FB37AB">
        <w:trPr>
          <w:gridAfter w:val="1"/>
          <w:wAfter w:w="10" w:type="dxa"/>
          <w:trHeight w:val="20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92C2C" w14:textId="77777777" w:rsidR="006410E8" w:rsidRPr="00A108CD" w:rsidRDefault="006410E8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5D607D3F" w14:textId="77777777" w:rsidR="006410E8" w:rsidRPr="00A108CD" w:rsidRDefault="006410E8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6F2FE267" w14:textId="77777777" w:rsidR="006410E8" w:rsidRPr="00A108CD" w:rsidRDefault="006410E8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</w:rPr>
            </w:pPr>
          </w:p>
        </w:tc>
      </w:tr>
      <w:tr w:rsidR="006D10C6" w:rsidRPr="00A108CD" w14:paraId="02A89DFB" w14:textId="1B0D6F40" w:rsidTr="00D36845">
        <w:trPr>
          <w:gridAfter w:val="1"/>
          <w:wAfter w:w="10" w:type="dxa"/>
          <w:trHeight w:val="567"/>
        </w:trPr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9B02D" w14:textId="2C34A066" w:rsidR="006D10C6" w:rsidRPr="00FB37AB" w:rsidRDefault="006D10C6" w:rsidP="00FB37A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FB37AB">
              <w:rPr>
                <w:rFonts w:asciiTheme="minorHAnsi" w:hAnsiTheme="minorHAnsi" w:cstheme="minorHAnsi"/>
                <w:b/>
                <w:color w:val="FFFFFF"/>
                <w:sz w:val="24"/>
              </w:rPr>
              <w:t>Maximální bodové hodnocení</w:t>
            </w:r>
          </w:p>
        </w:tc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19807" w14:textId="6BC6F52C" w:rsidR="006D10C6" w:rsidRPr="00FB37AB" w:rsidRDefault="006D10C6" w:rsidP="00FB37A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24"/>
              </w:rPr>
            </w:pPr>
            <w:r w:rsidRPr="00FB37AB">
              <w:rPr>
                <w:rFonts w:asciiTheme="minorHAnsi" w:hAnsiTheme="minorHAnsi" w:cstheme="minorHAnsi"/>
                <w:sz w:val="24"/>
              </w:rPr>
              <w:t xml:space="preserve"> 70 bodů</w:t>
            </w:r>
          </w:p>
        </w:tc>
      </w:tr>
      <w:tr w:rsidR="006D10C6" w:rsidRPr="00A108CD" w14:paraId="4B3C80AB" w14:textId="39E24412" w:rsidTr="00C35A3F">
        <w:trPr>
          <w:gridAfter w:val="1"/>
          <w:wAfter w:w="10" w:type="dxa"/>
          <w:trHeight w:val="567"/>
        </w:trPr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14668" w14:textId="77777777" w:rsidR="006D10C6" w:rsidRPr="00FB37AB" w:rsidRDefault="006D10C6" w:rsidP="00FB37AB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24"/>
              </w:rPr>
            </w:pPr>
            <w:r w:rsidRPr="00FB37AB">
              <w:rPr>
                <w:rFonts w:asciiTheme="minorHAnsi" w:hAnsiTheme="minorHAnsi" w:cstheme="minorHAnsi"/>
                <w:b/>
                <w:color w:val="FFFFFF"/>
                <w:sz w:val="24"/>
              </w:rPr>
              <w:t>Minimální bodové hodnocení</w:t>
            </w:r>
          </w:p>
        </w:tc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A4660" w14:textId="672AD90A" w:rsidR="006D10C6" w:rsidRPr="00FB37AB" w:rsidRDefault="006D10C6" w:rsidP="00FB37A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24"/>
              </w:rPr>
            </w:pPr>
            <w:r w:rsidRPr="00FB37AB">
              <w:rPr>
                <w:rFonts w:asciiTheme="minorHAnsi" w:hAnsiTheme="minorHAnsi" w:cstheme="minorHAnsi"/>
                <w:sz w:val="24"/>
              </w:rPr>
              <w:t xml:space="preserve"> 20 bodů</w:t>
            </w:r>
          </w:p>
        </w:tc>
      </w:tr>
      <w:tr w:rsidR="00FB37AB" w:rsidRPr="00A108CD" w14:paraId="29C3B42C" w14:textId="77777777" w:rsidTr="00FB37AB">
        <w:trPr>
          <w:gridAfter w:val="1"/>
          <w:wAfter w:w="10" w:type="dxa"/>
          <w:trHeight w:val="567"/>
        </w:trPr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B747B2" w14:textId="1B592798" w:rsidR="00FB37AB" w:rsidRPr="00FB37AB" w:rsidRDefault="00FB37AB" w:rsidP="00FB37A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 xml:space="preserve">Počet získaných bodů z hodnocení </w:t>
            </w:r>
            <w:r w:rsidR="006D10C6">
              <w:rPr>
                <w:rFonts w:asciiTheme="minorHAnsi" w:hAnsiTheme="minorHAnsi" w:cstheme="minorHAnsi"/>
                <w:b/>
                <w:color w:val="FFFFFF"/>
                <w:sz w:val="24"/>
              </w:rPr>
              <w:t>projektu c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>elkem</w:t>
            </w:r>
          </w:p>
        </w:tc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BAFCA" w14:textId="77777777" w:rsidR="00FB37AB" w:rsidRPr="00FB37AB" w:rsidRDefault="00FB37AB" w:rsidP="00FB37AB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B20F816" w14:textId="4650C34B" w:rsidR="00E64C43" w:rsidRDefault="00E64C43" w:rsidP="0005240F">
      <w:pPr>
        <w:spacing w:after="240"/>
        <w:rPr>
          <w:rFonts w:ascii="Arial" w:eastAsia="Arial" w:hAnsi="Arial" w:cs="Arial"/>
          <w:b/>
          <w:u w:val="single"/>
        </w:rPr>
      </w:pPr>
    </w:p>
    <w:p w14:paraId="2360DC41" w14:textId="55EE7271" w:rsidR="006D10C6" w:rsidRDefault="006D10C6" w:rsidP="0005240F">
      <w:pPr>
        <w:spacing w:after="240"/>
        <w:rPr>
          <w:rFonts w:ascii="Arial" w:eastAsia="Arial" w:hAnsi="Arial" w:cs="Arial"/>
          <w:b/>
          <w:u w:val="single"/>
        </w:rPr>
      </w:pPr>
    </w:p>
    <w:p w14:paraId="37A9482C" w14:textId="0D81D42C" w:rsidR="006D10C6" w:rsidRDefault="006D10C6" w:rsidP="0005240F">
      <w:pPr>
        <w:spacing w:after="240"/>
        <w:rPr>
          <w:rFonts w:asciiTheme="minorHAnsi" w:eastAsia="Arial" w:hAnsiTheme="minorHAnsi" w:cstheme="minorHAnsi"/>
          <w:sz w:val="28"/>
        </w:rPr>
      </w:pPr>
      <w:r w:rsidRPr="006D10C6">
        <w:rPr>
          <w:rFonts w:ascii="Arial" w:eastAsia="Arial" w:hAnsi="Arial" w:cs="Arial"/>
        </w:rPr>
        <w:t xml:space="preserve"> </w:t>
      </w:r>
      <w:r w:rsidRPr="006D10C6">
        <w:rPr>
          <w:rFonts w:ascii="Arial" w:eastAsia="Arial" w:hAnsi="Arial" w:cs="Arial"/>
        </w:rPr>
        <w:tab/>
      </w:r>
      <w:r w:rsidRPr="006D10C6">
        <w:rPr>
          <w:rFonts w:asciiTheme="minorHAnsi" w:eastAsia="Arial" w:hAnsiTheme="minorHAnsi" w:cstheme="minorHAnsi"/>
          <w:sz w:val="28"/>
        </w:rPr>
        <w:t>Datum a místo hodnocení: ………………………………………………………………………..</w:t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ab/>
        <w:t>Podpis hodnotitele ………………………………………………………………………….</w:t>
      </w:r>
    </w:p>
    <w:p w14:paraId="48B557A1" w14:textId="6FEF8571" w:rsidR="006D10C6" w:rsidRDefault="006D10C6" w:rsidP="0005240F">
      <w:pPr>
        <w:spacing w:after="240"/>
        <w:rPr>
          <w:rFonts w:asciiTheme="minorHAnsi" w:eastAsia="Arial" w:hAnsiTheme="minorHAnsi" w:cstheme="minorHAnsi"/>
          <w:sz w:val="28"/>
        </w:rPr>
      </w:pPr>
    </w:p>
    <w:p w14:paraId="52DF249B" w14:textId="77777777" w:rsidR="006D10C6" w:rsidRPr="006D10C6" w:rsidRDefault="006D10C6" w:rsidP="0005240F">
      <w:pPr>
        <w:spacing w:after="240"/>
        <w:rPr>
          <w:rFonts w:asciiTheme="minorHAnsi" w:eastAsia="Arial" w:hAnsiTheme="minorHAnsi" w:cstheme="minorHAnsi"/>
          <w:sz w:val="28"/>
        </w:rPr>
      </w:pPr>
    </w:p>
    <w:p w14:paraId="52ED15D4" w14:textId="558C1F28" w:rsidR="00B0050E" w:rsidRPr="006B5F0D" w:rsidRDefault="00B0050E" w:rsidP="00FB37AB">
      <w:pPr>
        <w:spacing w:after="240"/>
        <w:ind w:left="426"/>
        <w:rPr>
          <w:rFonts w:ascii="Arial" w:hAnsi="Arial" w:cs="Arial"/>
          <w:sz w:val="24"/>
        </w:rPr>
      </w:pPr>
      <w:bookmarkStart w:id="0" w:name="_GoBack"/>
      <w:bookmarkEnd w:id="0"/>
    </w:p>
    <w:sectPr w:rsidR="00B0050E" w:rsidRPr="006B5F0D" w:rsidSect="00FB37AB">
      <w:footerReference w:type="default" r:id="rId9"/>
      <w:headerReference w:type="first" r:id="rId10"/>
      <w:pgSz w:w="23811" w:h="16838" w:orient="landscape" w:code="8"/>
      <w:pgMar w:top="1417" w:right="1417" w:bottom="851" w:left="284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A4AA" w14:textId="77777777" w:rsidR="005E174C" w:rsidRDefault="005E174C" w:rsidP="005E174C">
      <w:pPr>
        <w:spacing w:after="0"/>
      </w:pPr>
      <w:r>
        <w:separator/>
      </w:r>
    </w:p>
  </w:endnote>
  <w:endnote w:type="continuationSeparator" w:id="0">
    <w:p w14:paraId="20E793B3" w14:textId="77777777" w:rsidR="005E174C" w:rsidRDefault="005E174C" w:rsidP="005E1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91809"/>
      <w:docPartObj>
        <w:docPartGallery w:val="Page Numbers (Bottom of Page)"/>
        <w:docPartUnique/>
      </w:docPartObj>
    </w:sdtPr>
    <w:sdtContent>
      <w:p w14:paraId="0FDD7CC1" w14:textId="0E2C9C9B" w:rsidR="009A378D" w:rsidRDefault="009A37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32B832" w14:textId="77777777" w:rsidR="009A378D" w:rsidRDefault="009A37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8BB2" w14:textId="77777777" w:rsidR="005E174C" w:rsidRDefault="005E174C" w:rsidP="005E174C">
      <w:pPr>
        <w:spacing w:after="0"/>
      </w:pPr>
      <w:r>
        <w:separator/>
      </w:r>
    </w:p>
  </w:footnote>
  <w:footnote w:type="continuationSeparator" w:id="0">
    <w:p w14:paraId="5E6FDB6E" w14:textId="77777777" w:rsidR="005E174C" w:rsidRDefault="005E174C" w:rsidP="005E1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A324" w14:textId="008315F9" w:rsidR="005E174C" w:rsidRDefault="0072309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58F31" wp14:editId="7C1DEFE1">
          <wp:simplePos x="0" y="0"/>
          <wp:positionH relativeFrom="column">
            <wp:posOffset>12736830</wp:posOffset>
          </wp:positionH>
          <wp:positionV relativeFrom="paragraph">
            <wp:posOffset>-180763</wp:posOffset>
          </wp:positionV>
          <wp:extent cx="987778" cy="533400"/>
          <wp:effectExtent l="0" t="0" r="3175" b="0"/>
          <wp:wrapNone/>
          <wp:docPr id="215" name="Obráze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77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F00">
      <w:rPr>
        <w:noProof/>
      </w:rPr>
      <w:drawing>
        <wp:anchor distT="0" distB="0" distL="114300" distR="114300" simplePos="0" relativeHeight="251658240" behindDoc="0" locked="0" layoutInCell="1" allowOverlap="1" wp14:anchorId="48BA39F8" wp14:editId="3226FA15">
          <wp:simplePos x="0" y="0"/>
          <wp:positionH relativeFrom="column">
            <wp:posOffset>240420</wp:posOffset>
          </wp:positionH>
          <wp:positionV relativeFrom="paragraph">
            <wp:posOffset>-196655</wp:posOffset>
          </wp:positionV>
          <wp:extent cx="4229100" cy="510135"/>
          <wp:effectExtent l="0" t="0" r="0" b="4445"/>
          <wp:wrapNone/>
          <wp:docPr id="216" name="Obrázek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0" cy="51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A37"/>
    <w:multiLevelType w:val="hybridMultilevel"/>
    <w:tmpl w:val="6E5AE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5"/>
    <w:rsid w:val="00015CFC"/>
    <w:rsid w:val="00034D31"/>
    <w:rsid w:val="00046ED2"/>
    <w:rsid w:val="00047264"/>
    <w:rsid w:val="00050794"/>
    <w:rsid w:val="0005240F"/>
    <w:rsid w:val="000741E4"/>
    <w:rsid w:val="00077F4F"/>
    <w:rsid w:val="00083F00"/>
    <w:rsid w:val="000B5076"/>
    <w:rsid w:val="000C4901"/>
    <w:rsid w:val="000C571F"/>
    <w:rsid w:val="000D1B87"/>
    <w:rsid w:val="000D273B"/>
    <w:rsid w:val="000D3E22"/>
    <w:rsid w:val="000E7D5C"/>
    <w:rsid w:val="000F5390"/>
    <w:rsid w:val="00107A89"/>
    <w:rsid w:val="00111C94"/>
    <w:rsid w:val="001220CC"/>
    <w:rsid w:val="00122103"/>
    <w:rsid w:val="001534BF"/>
    <w:rsid w:val="001667B5"/>
    <w:rsid w:val="0019331D"/>
    <w:rsid w:val="00220CFE"/>
    <w:rsid w:val="00222D58"/>
    <w:rsid w:val="002259D2"/>
    <w:rsid w:val="0025763A"/>
    <w:rsid w:val="00271A70"/>
    <w:rsid w:val="002726AC"/>
    <w:rsid w:val="0027560E"/>
    <w:rsid w:val="002965AB"/>
    <w:rsid w:val="002A79AC"/>
    <w:rsid w:val="002C4310"/>
    <w:rsid w:val="002E1629"/>
    <w:rsid w:val="002E5967"/>
    <w:rsid w:val="002F4C3B"/>
    <w:rsid w:val="002F7FC7"/>
    <w:rsid w:val="00302C55"/>
    <w:rsid w:val="00324429"/>
    <w:rsid w:val="00335A70"/>
    <w:rsid w:val="0034243A"/>
    <w:rsid w:val="0035061B"/>
    <w:rsid w:val="003C166E"/>
    <w:rsid w:val="003C59C6"/>
    <w:rsid w:val="003F1265"/>
    <w:rsid w:val="004009E3"/>
    <w:rsid w:val="0040779E"/>
    <w:rsid w:val="00454BD9"/>
    <w:rsid w:val="00455085"/>
    <w:rsid w:val="004648D3"/>
    <w:rsid w:val="00475A89"/>
    <w:rsid w:val="00493828"/>
    <w:rsid w:val="004944E3"/>
    <w:rsid w:val="004B0808"/>
    <w:rsid w:val="004F0018"/>
    <w:rsid w:val="004F2868"/>
    <w:rsid w:val="00501508"/>
    <w:rsid w:val="005063E9"/>
    <w:rsid w:val="00531256"/>
    <w:rsid w:val="00531C6E"/>
    <w:rsid w:val="0054397A"/>
    <w:rsid w:val="00546F4A"/>
    <w:rsid w:val="005556D2"/>
    <w:rsid w:val="00561165"/>
    <w:rsid w:val="00570CC7"/>
    <w:rsid w:val="00571D50"/>
    <w:rsid w:val="005763A2"/>
    <w:rsid w:val="0058257D"/>
    <w:rsid w:val="00593131"/>
    <w:rsid w:val="005A1B86"/>
    <w:rsid w:val="005B267C"/>
    <w:rsid w:val="005C44E2"/>
    <w:rsid w:val="005E174C"/>
    <w:rsid w:val="005E4B68"/>
    <w:rsid w:val="005E58D0"/>
    <w:rsid w:val="005F3156"/>
    <w:rsid w:val="005F591D"/>
    <w:rsid w:val="00602E42"/>
    <w:rsid w:val="006200C5"/>
    <w:rsid w:val="00625DE7"/>
    <w:rsid w:val="00627105"/>
    <w:rsid w:val="00636892"/>
    <w:rsid w:val="006410E8"/>
    <w:rsid w:val="00646433"/>
    <w:rsid w:val="00650A29"/>
    <w:rsid w:val="00650AAF"/>
    <w:rsid w:val="006919D7"/>
    <w:rsid w:val="006A242D"/>
    <w:rsid w:val="006A66A7"/>
    <w:rsid w:val="006B0CB7"/>
    <w:rsid w:val="006B5F0D"/>
    <w:rsid w:val="006C5DB5"/>
    <w:rsid w:val="006D10C6"/>
    <w:rsid w:val="006F068E"/>
    <w:rsid w:val="006F1CB7"/>
    <w:rsid w:val="00720795"/>
    <w:rsid w:val="0072309A"/>
    <w:rsid w:val="00727152"/>
    <w:rsid w:val="0075606A"/>
    <w:rsid w:val="00764830"/>
    <w:rsid w:val="007A5547"/>
    <w:rsid w:val="007B79BD"/>
    <w:rsid w:val="007C4B3E"/>
    <w:rsid w:val="007E668D"/>
    <w:rsid w:val="007F491C"/>
    <w:rsid w:val="007F6D14"/>
    <w:rsid w:val="00806B40"/>
    <w:rsid w:val="00816ACD"/>
    <w:rsid w:val="00851614"/>
    <w:rsid w:val="00874B10"/>
    <w:rsid w:val="008852E0"/>
    <w:rsid w:val="00897117"/>
    <w:rsid w:val="008A0C11"/>
    <w:rsid w:val="008A3FB5"/>
    <w:rsid w:val="008B7AD7"/>
    <w:rsid w:val="008C0E9C"/>
    <w:rsid w:val="008C688A"/>
    <w:rsid w:val="008E5DE2"/>
    <w:rsid w:val="00915A68"/>
    <w:rsid w:val="0091603D"/>
    <w:rsid w:val="00925D18"/>
    <w:rsid w:val="009414B1"/>
    <w:rsid w:val="0094356B"/>
    <w:rsid w:val="00967CEB"/>
    <w:rsid w:val="00993FF5"/>
    <w:rsid w:val="009A378D"/>
    <w:rsid w:val="009A533C"/>
    <w:rsid w:val="009B176D"/>
    <w:rsid w:val="009B553F"/>
    <w:rsid w:val="009D5FB8"/>
    <w:rsid w:val="009D6E86"/>
    <w:rsid w:val="00A108CD"/>
    <w:rsid w:val="00A11C00"/>
    <w:rsid w:val="00A355A8"/>
    <w:rsid w:val="00A447BD"/>
    <w:rsid w:val="00AF5813"/>
    <w:rsid w:val="00B0050E"/>
    <w:rsid w:val="00B51C6C"/>
    <w:rsid w:val="00B569D8"/>
    <w:rsid w:val="00BF2CD8"/>
    <w:rsid w:val="00C26E00"/>
    <w:rsid w:val="00C4709D"/>
    <w:rsid w:val="00C54E1F"/>
    <w:rsid w:val="00C706FB"/>
    <w:rsid w:val="00C83072"/>
    <w:rsid w:val="00C868E4"/>
    <w:rsid w:val="00C91576"/>
    <w:rsid w:val="00C95863"/>
    <w:rsid w:val="00CA2834"/>
    <w:rsid w:val="00CC21BE"/>
    <w:rsid w:val="00CC3172"/>
    <w:rsid w:val="00CD4B54"/>
    <w:rsid w:val="00CD5714"/>
    <w:rsid w:val="00CE37C2"/>
    <w:rsid w:val="00CE7D52"/>
    <w:rsid w:val="00D041D5"/>
    <w:rsid w:val="00D206E5"/>
    <w:rsid w:val="00D40DD9"/>
    <w:rsid w:val="00D4606F"/>
    <w:rsid w:val="00D92D9C"/>
    <w:rsid w:val="00DD2C22"/>
    <w:rsid w:val="00DD361D"/>
    <w:rsid w:val="00DF3735"/>
    <w:rsid w:val="00E06FC8"/>
    <w:rsid w:val="00E418FE"/>
    <w:rsid w:val="00E540C1"/>
    <w:rsid w:val="00E55856"/>
    <w:rsid w:val="00E64C43"/>
    <w:rsid w:val="00E71C73"/>
    <w:rsid w:val="00EB3AFF"/>
    <w:rsid w:val="00EE01CD"/>
    <w:rsid w:val="00EF141F"/>
    <w:rsid w:val="00F233FC"/>
    <w:rsid w:val="00F5402A"/>
    <w:rsid w:val="00F7159A"/>
    <w:rsid w:val="00F71602"/>
    <w:rsid w:val="00F73706"/>
    <w:rsid w:val="00F80884"/>
    <w:rsid w:val="00FA1B4E"/>
    <w:rsid w:val="00FB37AB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0DCF82"/>
  <w15:chartTrackingRefBased/>
  <w15:docId w15:val="{FCA6F116-A652-4402-874C-80E0576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C43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C49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27105"/>
  </w:style>
  <w:style w:type="paragraph" w:styleId="Zhlav">
    <w:name w:val="header"/>
    <w:basedOn w:val="Normln"/>
    <w:link w:val="Zhlav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174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174C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5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6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4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1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2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2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2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65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edagogick%C3%BD_lead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Educational_leadersh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2068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8</cp:revision>
  <dcterms:created xsi:type="dcterms:W3CDTF">2023-09-05T13:37:00Z</dcterms:created>
  <dcterms:modified xsi:type="dcterms:W3CDTF">2023-09-05T14:21:00Z</dcterms:modified>
</cp:coreProperties>
</file>