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98"/>
        <w:gridCol w:w="5376"/>
      </w:tblGrid>
      <w:tr w:rsidR="00753D29" w:rsidRPr="00BA701F" w14:paraId="14BAD7DB" w14:textId="77777777" w:rsidTr="00106376">
        <w:trPr>
          <w:trHeight w:val="1896"/>
        </w:trPr>
        <w:tc>
          <w:tcPr>
            <w:tcW w:w="107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4A4" w14:textId="005E81DE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24"/>
            </w:tblGrid>
            <w:tr w:rsidR="00753D29" w:rsidRPr="00BA701F" w14:paraId="32DBAA93" w14:textId="77777777" w:rsidTr="00106376">
              <w:trPr>
                <w:trHeight w:val="1896"/>
                <w:tblCellSpacing w:w="0" w:type="dxa"/>
              </w:trPr>
              <w:tc>
                <w:tcPr>
                  <w:tcW w:w="1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CFDE233" w14:textId="3015C5D9" w:rsidR="00753D29" w:rsidRPr="00BA701F" w:rsidRDefault="00753D29" w:rsidP="00753D29">
                  <w:pPr>
                    <w:jc w:val="center"/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Kyjovské Slovácko v </w:t>
                  </w:r>
                  <w:proofErr w:type="gramStart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pohybu, z.s.</w:t>
                  </w:r>
                  <w:proofErr w:type="gramEnd"/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 xml:space="preserve">vyhlašuje 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  <w:t>1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. výzvu</w:t>
                  </w:r>
                  <w:r w:rsidRPr="00BA701F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BA701F">
                    <w:rPr>
                      <w:rFonts w:eastAsia="Times New Roman"/>
                      <w:color w:val="000000"/>
                      <w:sz w:val="28"/>
                      <w:szCs w:val="28"/>
                    </w:rPr>
                    <w:t>s názvem</w:t>
                  </w:r>
                  <w:r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br/>
                  </w:r>
                  <w:r w:rsidRPr="00753D29">
                    <w:rPr>
                      <w:rFonts w:eastAsia="Times New Roman"/>
                      <w:b/>
                      <w:bCs/>
                      <w:color w:val="000000"/>
                      <w:sz w:val="28"/>
                      <w:szCs w:val="28"/>
                    </w:rPr>
                    <w:t>1. Výzva IROP 21+ vzdělávání - ZŠ</w:t>
                  </w:r>
                </w:p>
              </w:tc>
            </w:tr>
          </w:tbl>
          <w:p w14:paraId="302BA08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5BEE9483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F79A7D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Identifikace výzvy</w:t>
            </w:r>
          </w:p>
        </w:tc>
      </w:tr>
      <w:tr w:rsidR="00753D29" w:rsidRPr="00BA701F" w14:paraId="3D0353B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43D0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Operační program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634C6" w14:textId="77777777" w:rsidR="00753D29" w:rsidRPr="00F77EF5" w:rsidRDefault="00B26049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Integrovaný regionální operační program 2021–2027</w:t>
            </w:r>
          </w:p>
        </w:tc>
      </w:tr>
      <w:tr w:rsidR="00753D29" w:rsidRPr="00BA701F" w14:paraId="519B18D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0624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6DB1" w14:textId="77777777" w:rsidR="00753D29" w:rsidRPr="00F77EF5" w:rsidRDefault="001B2403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48. výzva k předkládání žádostí o podporu, VZDĚLÁVÁNÍ – SC 5.1 (CLLD)</w:t>
            </w:r>
          </w:p>
        </w:tc>
      </w:tr>
      <w:tr w:rsidR="00753D29" w:rsidRPr="00BA701F" w14:paraId="7C9CBF1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14950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Číslo a název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6B5E4" w14:textId="77777777" w:rsidR="00753D29" w:rsidRPr="00F77EF5" w:rsidRDefault="001B2403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Style w:val="markedcontent"/>
                <w:rFonts w:asciiTheme="minorHAnsi" w:hAnsiTheme="minorHAnsi" w:cstheme="minorHAnsi"/>
              </w:rPr>
              <w:t>1. Výzva IROP 21+ vzdělávání - ZŠ</w:t>
            </w:r>
          </w:p>
        </w:tc>
      </w:tr>
      <w:tr w:rsidR="00753D29" w:rsidRPr="00BA701F" w14:paraId="0D65DD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B0E2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Opatření Programového rámce IROP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98E8" w14:textId="77777777" w:rsidR="00753D29" w:rsidRPr="00F77EF5" w:rsidRDefault="00753D29" w:rsidP="00106376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F77EF5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="001B2403" w:rsidRPr="00F77EF5">
              <w:rPr>
                <w:rFonts w:asciiTheme="minorHAnsi" w:eastAsia="Arial" w:hAnsiTheme="minorHAnsi" w:cstheme="minorHAnsi"/>
              </w:rPr>
              <w:t>Opatření 1 IROP - VZDĚLÁVÁNÍ</w:t>
            </w:r>
          </w:p>
        </w:tc>
      </w:tr>
      <w:tr w:rsidR="00071D19" w:rsidRPr="00BA701F" w14:paraId="68DD51E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BE5CC94" w14:textId="5BD053A0" w:rsidR="00071D19" w:rsidRPr="00BA701F" w:rsidRDefault="00071D1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Úvodní informace k výzvě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60868" w14:textId="26981B73" w:rsidR="00071D19" w:rsidRPr="00F77EF5" w:rsidRDefault="00071D19" w:rsidP="002F365C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071D19">
              <w:rPr>
                <w:rStyle w:val="markedcontent"/>
                <w:rFonts w:asciiTheme="minorHAnsi" w:hAnsiTheme="minorHAnsi" w:cstheme="minorHAnsi"/>
              </w:rPr>
              <w:t>Výzva MAS je určena pro výběr projektových záměrů, kterým bude na základě procesu výběru stanoveném v Interních postupech MAS vydáno Vyjádření MAS o souladu/nesouladu projektového záměru se schválenou strategií CLLD. Kladné vyjádření vydává MAS pouze do 100% alokace výzvy MAS za splnění podmínek výzvy MAS. Na základě obdržení Vyjádření MAS o souladu se schválenou strategií CLLD jsou žadateli rezervovány prostředky v rámci příslušného opatření programového rámce IROP. Po obdržení Vyjádření MAS o souladu se schválenou strategií CLLD žadatel zahájí dopracování projektového záměru a jeho předložení v systému MS2021+ do příslušné výzvy ŘO. Žadatel se řídí do vydání Právního aktu/Rozhodnutí verzí pravidel účinných v den podání žádosti o podporu. V době realizace a udržitelnosti projektu, tj. od vydání Právního aktu/Rozhodnutí se příjemce řídí aktuálně účinnou verzí pravidel.</w:t>
            </w:r>
          </w:p>
        </w:tc>
      </w:tr>
      <w:tr w:rsidR="00753D29" w:rsidRPr="00BA701F" w14:paraId="6BB3E71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479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28F4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1718DF38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53E03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Termíny</w:t>
            </w:r>
          </w:p>
        </w:tc>
      </w:tr>
      <w:tr w:rsidR="00753D29" w:rsidRPr="00BA701F" w14:paraId="3BC7156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8310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Datum a čas vyhlášení výzvy MAS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C95AD" w14:textId="0AE8604C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FC7B39">
              <w:rPr>
                <w:rFonts w:eastAsia="Times New Roman"/>
                <w:color w:val="000000"/>
              </w:rPr>
              <w:t>3. 7</w:t>
            </w:r>
            <w:r w:rsidR="001B2403" w:rsidRPr="00BD2AF7">
              <w:rPr>
                <w:rFonts w:eastAsia="Times New Roman"/>
                <w:color w:val="000000"/>
              </w:rPr>
              <w:t>. 2023</w:t>
            </w:r>
            <w:r w:rsidR="005B1109" w:rsidRPr="00BD2AF7">
              <w:rPr>
                <w:rFonts w:eastAsia="Times New Roman"/>
                <w:color w:val="000000"/>
              </w:rPr>
              <w:t>,</w:t>
            </w:r>
            <w:r w:rsidR="001B2403" w:rsidRPr="00BD2AF7">
              <w:rPr>
                <w:rFonts w:eastAsia="Times New Roman"/>
                <w:color w:val="000000"/>
              </w:rPr>
              <w:t xml:space="preserve"> </w:t>
            </w:r>
            <w:r w:rsidR="005B1109" w:rsidRPr="00BD2AF7">
              <w:rPr>
                <w:rFonts w:eastAsia="Times New Roman"/>
                <w:color w:val="000000"/>
              </w:rPr>
              <w:t>12:00 hod.</w:t>
            </w:r>
          </w:p>
        </w:tc>
      </w:tr>
      <w:tr w:rsidR="00753D29" w:rsidRPr="00BA701F" w14:paraId="663EC79D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C8DCB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zahájení příjmu žádostí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973D" w14:textId="3EF4EC37" w:rsidR="00753D29" w:rsidRPr="00BD2AF7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D2AF7">
              <w:rPr>
                <w:rFonts w:eastAsia="Times New Roman"/>
                <w:color w:val="000000"/>
              </w:rPr>
              <w:t> </w:t>
            </w:r>
            <w:r w:rsidR="00FC7B39">
              <w:rPr>
                <w:rFonts w:eastAsia="Times New Roman"/>
                <w:color w:val="000000"/>
              </w:rPr>
              <w:t>3. 7</w:t>
            </w:r>
            <w:r w:rsidR="005B1109" w:rsidRPr="00BD2AF7">
              <w:rPr>
                <w:rFonts w:eastAsia="Times New Roman"/>
                <w:color w:val="000000"/>
              </w:rPr>
              <w:t>. 2023, 12:00 hod.</w:t>
            </w:r>
          </w:p>
        </w:tc>
      </w:tr>
      <w:tr w:rsidR="00753D29" w:rsidRPr="00BA701F" w14:paraId="4CC6C98F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7CC4AE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Datum a čas ukončení příjmu žádostí o podporu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F73D" w14:textId="2C9B6FA2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DC522E">
              <w:rPr>
                <w:rFonts w:eastAsia="Times New Roman"/>
                <w:color w:val="000000"/>
              </w:rPr>
              <w:t>31. 10</w:t>
            </w:r>
            <w:r w:rsidR="005B1109">
              <w:rPr>
                <w:rFonts w:eastAsia="Times New Roman"/>
                <w:color w:val="000000"/>
              </w:rPr>
              <w:t>. 2023, 12:00 hod.</w:t>
            </w:r>
          </w:p>
        </w:tc>
      </w:tr>
      <w:tr w:rsidR="00753D29" w:rsidRPr="00BA701F" w14:paraId="6A78156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4A18" w14:textId="242D5CE8" w:rsidR="00753D29" w:rsidRPr="00BA701F" w:rsidRDefault="00AF71E4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Počáteční</w:t>
            </w:r>
            <w:r w:rsidR="004B1271">
              <w:rPr>
                <w:rFonts w:eastAsia="Times New Roman"/>
                <w:b/>
                <w:bCs/>
                <w:color w:val="000000"/>
              </w:rPr>
              <w:t xml:space="preserve"> 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zahájení realizace projektu</w:t>
            </w:r>
            <w:r>
              <w:rPr>
                <w:rFonts w:eastAsia="Times New Roman"/>
                <w:b/>
                <w:bCs/>
                <w:color w:val="000000"/>
              </w:rPr>
              <w:t xml:space="preserve"> - nejdříve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A37B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1. 1. 2021</w:t>
            </w:r>
          </w:p>
        </w:tc>
      </w:tr>
      <w:tr w:rsidR="00753D29" w:rsidRPr="00BA701F" w14:paraId="1EAC09A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DA4FC0" w14:textId="24FBAF94" w:rsidR="00753D29" w:rsidRPr="00BA701F" w:rsidRDefault="004B1271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="00753D29" w:rsidRPr="00BA701F">
              <w:rPr>
                <w:rFonts w:eastAsia="Times New Roman"/>
                <w:b/>
                <w:bCs/>
                <w:color w:val="000000"/>
              </w:rPr>
              <w:t>atum ukončení realizace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95F0" w14:textId="3EFEE263" w:rsidR="005C2C7A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C1373B">
              <w:rPr>
                <w:rFonts w:eastAsia="Times New Roman"/>
                <w:color w:val="000000"/>
              </w:rPr>
              <w:t>30. 6. 2029</w:t>
            </w:r>
            <w:r w:rsidR="005C2C7A">
              <w:rPr>
                <w:rFonts w:eastAsia="Times New Roman"/>
                <w:color w:val="000000"/>
              </w:rPr>
              <w:t xml:space="preserve"> </w:t>
            </w:r>
          </w:p>
          <w:p w14:paraId="17811D5F" w14:textId="77777777" w:rsidR="00231A4D" w:rsidRDefault="00231A4D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Realizace projektu nesmí být formálně ani fyzicky ukončena před podáním žádosti o podporu v MS2021+.</w:t>
            </w:r>
          </w:p>
          <w:p w14:paraId="441CDBF1" w14:textId="171D5C32" w:rsidR="003D0C9B" w:rsidRDefault="007234CE" w:rsidP="00F82DAD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Dřívější ukončení realizace projektu je bonifikováno v rámci věcného hodnocení projektů</w:t>
            </w:r>
            <w:r w:rsidR="003D0C9B">
              <w:rPr>
                <w:rFonts w:eastAsia="Times New Roman"/>
                <w:color w:val="000000"/>
              </w:rPr>
              <w:t xml:space="preserve"> v kritériu č. 2</w:t>
            </w:r>
            <w:r>
              <w:rPr>
                <w:rFonts w:eastAsia="Times New Roman"/>
                <w:color w:val="000000"/>
              </w:rPr>
              <w:t>.</w:t>
            </w:r>
            <w:r w:rsidR="003D0C9B">
              <w:rPr>
                <w:rFonts w:eastAsia="Times New Roman"/>
                <w:color w:val="000000"/>
              </w:rPr>
              <w:t xml:space="preserve"> Žadatel uvádí v projektovém záměru D</w:t>
            </w:r>
            <w:r w:rsidR="003D0C9B" w:rsidRPr="003D0C9B">
              <w:rPr>
                <w:rFonts w:eastAsia="Times New Roman"/>
                <w:color w:val="000000"/>
              </w:rPr>
              <w:t>atum předložení dokumentace k závěrečnému vyhodnocení akce na ŘO IROP (podání Žádosti o platbu)</w:t>
            </w:r>
            <w:r w:rsidR="003D0C9B">
              <w:rPr>
                <w:rFonts w:eastAsia="Times New Roman"/>
                <w:color w:val="000000"/>
              </w:rPr>
              <w:t xml:space="preserve">. Pokud </w:t>
            </w:r>
            <w:r w:rsidR="003D0C9B" w:rsidRPr="003D0C9B">
              <w:rPr>
                <w:rFonts w:eastAsia="Times New Roman"/>
                <w:color w:val="000000"/>
              </w:rPr>
              <w:t>Datum předložení dokumentace k závěrečnému vyhodnocení akce na ŘO IROP (podání Žádosti o platbu),  předchází datu 30. 6. 2025</w:t>
            </w:r>
            <w:r w:rsidR="003D0C9B">
              <w:rPr>
                <w:rFonts w:eastAsia="Times New Roman"/>
                <w:color w:val="000000"/>
              </w:rPr>
              <w:t>. O</w:t>
            </w:r>
            <w:r w:rsidR="008E1B08">
              <w:rPr>
                <w:rFonts w:eastAsia="Times New Roman"/>
                <w:color w:val="000000"/>
              </w:rPr>
              <w:t xml:space="preserve">bdrží žadatel bodové zvýhodnění a současně napomáhá k dodržování finančních plánů ŘO IROP. Od tohoto data se odvíjí </w:t>
            </w:r>
            <w:r w:rsidR="008E1B08" w:rsidRPr="008E1B08">
              <w:rPr>
                <w:rFonts w:eastAsia="Times New Roman"/>
                <w:color w:val="000000"/>
              </w:rPr>
              <w:t xml:space="preserve">Nejzazší datum ukončení realizace </w:t>
            </w:r>
            <w:r w:rsidR="008E1B08" w:rsidRPr="008E1B08">
              <w:rPr>
                <w:rFonts w:eastAsia="Times New Roman"/>
                <w:color w:val="000000"/>
              </w:rPr>
              <w:lastRenderedPageBreak/>
              <w:t>projektu</w:t>
            </w:r>
            <w:r w:rsidR="003620FB">
              <w:rPr>
                <w:rFonts w:eastAsia="Times New Roman"/>
                <w:color w:val="000000"/>
              </w:rPr>
              <w:t>, které musí být nastaveno na 20 pracovních dní před tímto datem.</w:t>
            </w:r>
            <w:r w:rsidR="003D0C9B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14:paraId="21323871" w14:textId="4A5D2F6D" w:rsidR="007234CE" w:rsidRPr="00BA701F" w:rsidRDefault="007234CE" w:rsidP="00C57C28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Pokud bude žadatel nárokovat body za </w:t>
            </w:r>
            <w:r w:rsidR="00F82DAD">
              <w:rPr>
                <w:rFonts w:eastAsia="Times New Roman"/>
                <w:color w:val="000000"/>
              </w:rPr>
              <w:t xml:space="preserve">dřívější </w:t>
            </w:r>
            <w:r>
              <w:rPr>
                <w:rFonts w:eastAsia="Times New Roman"/>
                <w:color w:val="000000"/>
              </w:rPr>
              <w:t>ukončení realizace projektu, nebude možné</w:t>
            </w:r>
            <w:r w:rsidR="001D15A9">
              <w:rPr>
                <w:rFonts w:eastAsia="Times New Roman"/>
                <w:color w:val="000000"/>
              </w:rPr>
              <w:t xml:space="preserve"> již</w:t>
            </w:r>
            <w:r w:rsidR="00F82DAD">
              <w:rPr>
                <w:rFonts w:eastAsia="Times New Roman"/>
                <w:color w:val="000000"/>
              </w:rPr>
              <w:t xml:space="preserve"> provádět žádosti o změnu ukončení realizace projektu</w:t>
            </w:r>
            <w:r w:rsidR="00C57C28">
              <w:rPr>
                <w:rFonts w:eastAsia="Times New Roman"/>
                <w:color w:val="000000"/>
              </w:rPr>
              <w:t>,</w:t>
            </w:r>
            <w:r w:rsidR="001D15A9">
              <w:rPr>
                <w:rFonts w:eastAsia="Times New Roman"/>
                <w:color w:val="000000"/>
              </w:rPr>
              <w:t xml:space="preserve"> </w:t>
            </w:r>
            <w:r w:rsidR="00C57C28">
              <w:rPr>
                <w:rFonts w:eastAsia="Times New Roman"/>
                <w:color w:val="000000"/>
              </w:rPr>
              <w:t xml:space="preserve">v nichž by </w:t>
            </w:r>
            <w:r w:rsidR="00C57C28" w:rsidRPr="003D0C9B">
              <w:rPr>
                <w:rFonts w:eastAsia="Times New Roman"/>
                <w:color w:val="000000"/>
              </w:rPr>
              <w:t>Datum předložení dokumentace k závěrečnému vyhodnocení akce na ŘO IROP (podání Žádosti o platbu)</w:t>
            </w:r>
            <w:r w:rsidR="00C57C28">
              <w:rPr>
                <w:rFonts w:eastAsia="Times New Roman"/>
                <w:color w:val="000000"/>
              </w:rPr>
              <w:t xml:space="preserve"> překročilo datum 30. 6. 2025.</w:t>
            </w:r>
          </w:p>
        </w:tc>
      </w:tr>
      <w:tr w:rsidR="00FC7B39" w:rsidRPr="00BA701F" w14:paraId="0EE5D90A" w14:textId="77777777" w:rsidTr="002E37E6">
        <w:trPr>
          <w:trHeight w:val="52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D28C2BC" w14:textId="111CC12C" w:rsidR="00FC7B39" w:rsidRDefault="00FC7B3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lastRenderedPageBreak/>
              <w:t>Nejzazší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</w:rPr>
              <w:t>d</w:t>
            </w:r>
            <w:r w:rsidRPr="00BA701F">
              <w:rPr>
                <w:rFonts w:eastAsia="Times New Roman"/>
                <w:b/>
                <w:bCs/>
                <w:color w:val="000000"/>
              </w:rPr>
              <w:t>atum</w:t>
            </w:r>
            <w:r>
              <w:rPr>
                <w:rFonts w:eastAsia="Times New Roman"/>
                <w:b/>
                <w:bCs/>
                <w:color w:val="000000"/>
              </w:rPr>
              <w:t xml:space="preserve"> pro podání projektu přes MS 2021+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3A034" w14:textId="2C0F6D19" w:rsidR="00FC7B39" w:rsidRPr="00BA701F" w:rsidRDefault="00B8766A" w:rsidP="002E37E6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6</w:t>
            </w:r>
            <w:r w:rsidR="00DC522E">
              <w:rPr>
                <w:rFonts w:eastAsia="Times New Roman"/>
                <w:color w:val="000000"/>
              </w:rPr>
              <w:t xml:space="preserve">. </w:t>
            </w:r>
            <w:r>
              <w:rPr>
                <w:rFonts w:eastAsia="Times New Roman"/>
                <w:color w:val="000000"/>
              </w:rPr>
              <w:t>2024</w:t>
            </w:r>
          </w:p>
        </w:tc>
      </w:tr>
      <w:tr w:rsidR="00753D29" w:rsidRPr="00BA701F" w14:paraId="36BEE13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B849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A79C8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0692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D21899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Podpora</w:t>
            </w:r>
          </w:p>
        </w:tc>
      </w:tr>
      <w:tr w:rsidR="00753D29" w:rsidRPr="00BA701F" w14:paraId="0C133D3B" w14:textId="77777777" w:rsidTr="005B1109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3BA26A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</w:rPr>
            </w:pPr>
            <w:r w:rsidRPr="00BA701F">
              <w:rPr>
                <w:rFonts w:eastAsia="Times New Roman"/>
                <w:b/>
                <w:bCs/>
              </w:rPr>
              <w:t>Alokace výzvy MAS (CZV)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765B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17 500 000 Kč</w:t>
            </w:r>
          </w:p>
        </w:tc>
      </w:tr>
      <w:tr w:rsidR="00753D29" w:rsidRPr="00BA701F" w14:paraId="4B17A1CC" w14:textId="77777777" w:rsidTr="005B1109">
        <w:trPr>
          <w:trHeight w:val="52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20AE70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Míra podpory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ECC2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95 % z</w:t>
            </w:r>
            <w:r w:rsidR="005D795B">
              <w:rPr>
                <w:rFonts w:eastAsia="Times New Roman"/>
                <w:color w:val="000000"/>
              </w:rPr>
              <w:t> </w:t>
            </w:r>
            <w:r w:rsidR="005B1109">
              <w:rPr>
                <w:rFonts w:eastAsia="Times New Roman"/>
                <w:color w:val="000000"/>
              </w:rPr>
              <w:t>CZV</w:t>
            </w:r>
            <w:r w:rsidR="005D795B">
              <w:rPr>
                <w:rFonts w:eastAsia="Times New Roman"/>
                <w:color w:val="000000"/>
              </w:rPr>
              <w:t xml:space="preserve"> (</w:t>
            </w:r>
            <w:r w:rsidR="005D795B" w:rsidRPr="005D795B">
              <w:rPr>
                <w:rFonts w:eastAsia="Times New Roman"/>
                <w:color w:val="000000"/>
              </w:rPr>
              <w:t>EFRR 80 %, SR 15 %</w:t>
            </w:r>
            <w:r w:rsidR="005D795B">
              <w:rPr>
                <w:rFonts w:eastAsia="Times New Roman"/>
                <w:color w:val="000000"/>
              </w:rPr>
              <w:t>)</w:t>
            </w:r>
          </w:p>
        </w:tc>
      </w:tr>
      <w:tr w:rsidR="00753D29" w:rsidRPr="00BA701F" w14:paraId="30F68B8B" w14:textId="77777777" w:rsidTr="005B1109">
        <w:trPr>
          <w:trHeight w:val="576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A6E859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Minimální výše celkových způsobilých výdajů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84FB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D795B">
              <w:rPr>
                <w:rFonts w:eastAsia="Times New Roman"/>
                <w:color w:val="000000"/>
              </w:rPr>
              <w:t>350 000 Kč</w:t>
            </w:r>
          </w:p>
        </w:tc>
      </w:tr>
      <w:tr w:rsidR="00753D29" w:rsidRPr="00BA701F" w14:paraId="5232649C" w14:textId="77777777" w:rsidTr="005C2C7A">
        <w:trPr>
          <w:trHeight w:val="576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41EC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Maximální výše celkových způsobilých výdajů projektu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701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D795B">
              <w:rPr>
                <w:rFonts w:eastAsia="Times New Roman"/>
                <w:color w:val="000000"/>
              </w:rPr>
              <w:t>4 000 000 Kč</w:t>
            </w:r>
          </w:p>
        </w:tc>
      </w:tr>
      <w:tr w:rsidR="00753D29" w:rsidRPr="00BA701F" w14:paraId="7E8A61D8" w14:textId="77777777" w:rsidTr="005C2C7A">
        <w:trPr>
          <w:trHeight w:val="55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4A86F1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podpory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B653" w14:textId="77777777" w:rsidR="00753D29" w:rsidRPr="00BA701F" w:rsidRDefault="00753D29" w:rsidP="005B110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 w:rsidR="005D795B">
              <w:rPr>
                <w:rFonts w:eastAsia="Times New Roman"/>
                <w:color w:val="000000"/>
              </w:rPr>
              <w:t>Ex post financování</w:t>
            </w:r>
          </w:p>
        </w:tc>
      </w:tr>
      <w:tr w:rsidR="00753D29" w:rsidRPr="00BA701F" w14:paraId="000802F0" w14:textId="77777777" w:rsidTr="005C2C7A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8978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CE46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23BF54D4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656AC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Zacílení podpory</w:t>
            </w:r>
          </w:p>
        </w:tc>
      </w:tr>
      <w:tr w:rsidR="00753D29" w:rsidRPr="00BA701F" w14:paraId="424C28ED" w14:textId="77777777" w:rsidTr="00377A4D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261105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Typy podporovaných projektů</w:t>
            </w:r>
          </w:p>
        </w:tc>
        <w:tc>
          <w:tcPr>
            <w:tcW w:w="5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7DC03" w14:textId="77777777" w:rsidR="00295FFC" w:rsidRPr="00295FFC" w:rsidRDefault="00295FFC" w:rsidP="00295FF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b/>
                <w:bCs/>
                <w:color w:val="000000"/>
                <w:lang w:eastAsia="en-US"/>
              </w:rPr>
              <w:t xml:space="preserve">Infrastruktura základních škol ve vazbě na odborné učebny a učebny neúplných škol </w:t>
            </w:r>
          </w:p>
          <w:p w14:paraId="4C7027D8" w14:textId="77777777" w:rsidR="00295FFC" w:rsidRPr="00295FFC" w:rsidRDefault="00295FFC" w:rsidP="00295FF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vybudování, m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odernizace a vybavení odborných </w:t>
            </w: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učeben ZŠ ve vazbě na přírodní vědy, polytechnické vzdělávání, c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izí jazyky, práci s digitálními </w:t>
            </w: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technologiemi; </w:t>
            </w:r>
          </w:p>
          <w:p w14:paraId="05B5719F" w14:textId="77777777" w:rsidR="00295FFC" w:rsidRPr="00295FFC" w:rsidRDefault="00295FFC" w:rsidP="00295FF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vnitřní konektivita škol; </w:t>
            </w:r>
          </w:p>
          <w:p w14:paraId="1CD4A6AC" w14:textId="77777777" w:rsidR="00295FFC" w:rsidRPr="00295FFC" w:rsidRDefault="00295FFC" w:rsidP="00295FF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školní družiny a školní kluby; </w:t>
            </w:r>
          </w:p>
          <w:p w14:paraId="250ADA05" w14:textId="77777777" w:rsidR="00295FFC" w:rsidRPr="00295FFC" w:rsidRDefault="00295FFC" w:rsidP="00295FF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učebny neúplných škol; </w:t>
            </w:r>
          </w:p>
          <w:p w14:paraId="2C5ABADF" w14:textId="77777777" w:rsidR="00295FFC" w:rsidRPr="00295FFC" w:rsidRDefault="00295FFC" w:rsidP="00295FFC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doprovodná část projektu: budování a modernizace zázemí </w:t>
            </w:r>
          </w:p>
          <w:p w14:paraId="2FBFDAAC" w14:textId="77777777" w:rsidR="00295FFC" w:rsidRPr="00295FFC" w:rsidRDefault="00295FFC" w:rsidP="00295FFC">
            <w:pPr>
              <w:autoSpaceDE w:val="0"/>
              <w:autoSpaceDN w:val="0"/>
              <w:adjustRightInd w:val="0"/>
              <w:spacing w:after="48"/>
              <w:ind w:left="623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 </w:t>
            </w:r>
            <w:r w:rsidRPr="00295FFC">
              <w:rPr>
                <w:rFonts w:asciiTheme="minorHAnsi" w:eastAsiaTheme="minorHAnsi" w:hAnsiTheme="minorHAnsi" w:cstheme="minorHAnsi"/>
                <w:i/>
                <w:iCs/>
                <w:color w:val="000000"/>
                <w:lang w:eastAsia="en-US"/>
              </w:rPr>
              <w:t xml:space="preserve">pro školní poradenská pracoviště a pro práci s žáky se speciálními vzdělávacími potřebami (např. klidové zóny, reedukační učebny); </w:t>
            </w:r>
          </w:p>
          <w:p w14:paraId="6E34D445" w14:textId="77777777" w:rsidR="00295FFC" w:rsidRPr="00295FFC" w:rsidRDefault="00295FFC" w:rsidP="00295FFC">
            <w:pPr>
              <w:autoSpaceDE w:val="0"/>
              <w:autoSpaceDN w:val="0"/>
              <w:adjustRightInd w:val="0"/>
              <w:spacing w:after="48"/>
              <w:ind w:left="623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 </w:t>
            </w:r>
            <w:r w:rsidRPr="00295FFC">
              <w:rPr>
                <w:rFonts w:asciiTheme="minorHAnsi" w:eastAsiaTheme="minorHAnsi" w:hAnsiTheme="minorHAnsi" w:cstheme="minorHAnsi"/>
                <w:i/>
                <w:iCs/>
                <w:color w:val="000000"/>
                <w:lang w:eastAsia="en-US"/>
              </w:rPr>
              <w:t xml:space="preserve">pro pedagogické i nepedagogické pracovníky škol vedoucí k vyšší kvalitě vzdělávání ve školách (např. kabinety); </w:t>
            </w:r>
          </w:p>
          <w:p w14:paraId="7BC04875" w14:textId="77777777" w:rsidR="00295FFC" w:rsidRDefault="00295FFC" w:rsidP="00295FFC">
            <w:pPr>
              <w:autoSpaceDE w:val="0"/>
              <w:autoSpaceDN w:val="0"/>
              <w:adjustRightInd w:val="0"/>
              <w:ind w:left="624"/>
              <w:jc w:val="left"/>
              <w:rPr>
                <w:rFonts w:asciiTheme="minorHAnsi" w:eastAsiaTheme="minorHAnsi" w:hAnsiTheme="minorHAnsi" w:cstheme="minorHAnsi"/>
                <w:i/>
                <w:iCs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 </w:t>
            </w:r>
            <w:r w:rsidRPr="00295FFC">
              <w:rPr>
                <w:rFonts w:asciiTheme="minorHAnsi" w:eastAsiaTheme="minorHAnsi" w:hAnsiTheme="minorHAnsi" w:cstheme="minorHAnsi"/>
                <w:i/>
                <w:iCs/>
                <w:color w:val="000000"/>
                <w:lang w:eastAsia="en-US"/>
              </w:rPr>
              <w:t xml:space="preserve">vnitřního i venkovního pro komunitní aktivity při ZŠ vedoucí k sociální inkluzi (např. veřejně přístupné prostory pro sportovní aktivity, knihovny, společenské místnosti), sloužící po vyučování jako centrum vzdělanosti a komunitních aktivit; </w:t>
            </w:r>
          </w:p>
          <w:p w14:paraId="068BD341" w14:textId="24ED22F3" w:rsidR="009579D0" w:rsidRDefault="009579D0" w:rsidP="00295FF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  <w:t>Projekt musí být zaměřen alespoň na jednu z následujících možností</w:t>
            </w:r>
            <w:r w:rsidR="00652F7A"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  <w:t xml:space="preserve"> aktivit</w:t>
            </w:r>
            <w:r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  <w:t xml:space="preserve">: </w:t>
            </w:r>
          </w:p>
          <w:p w14:paraId="16C42774" w14:textId="0C96AE95" w:rsidR="009579D0" w:rsidRPr="009579D0" w:rsidRDefault="009579D0" w:rsidP="009579D0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odborné učebny ve vazbě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na přírodní vědy nebo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polytechnické vzdělávání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nebo cizí jazyky nebo práci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lastRenderedPageBreak/>
              <w:t>s digitálními technologiemi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pro formální, zájmové a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</w:t>
            </w: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neformální vzdělávání a</w:t>
            </w:r>
            <w:r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 c</w:t>
            </w: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eloživotní učení</w:t>
            </w:r>
          </w:p>
          <w:p w14:paraId="7E2A5525" w14:textId="0C6B95F8" w:rsidR="009579D0" w:rsidRPr="009579D0" w:rsidRDefault="009579D0" w:rsidP="009579D0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vnitřní konektivitu školy</w:t>
            </w:r>
          </w:p>
          <w:p w14:paraId="39115BA3" w14:textId="24FBBF19" w:rsidR="009579D0" w:rsidRPr="009579D0" w:rsidRDefault="009579D0" w:rsidP="009579D0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školní družinu či školní klub</w:t>
            </w:r>
          </w:p>
          <w:p w14:paraId="5E09A371" w14:textId="0BB44241" w:rsidR="009579D0" w:rsidRDefault="009579D0" w:rsidP="009579D0">
            <w:pPr>
              <w:pStyle w:val="Odstavecseseznamem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62"/>
              <w:ind w:left="48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9579D0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>učebny neúplných škol.</w:t>
            </w:r>
          </w:p>
          <w:p w14:paraId="1D5E6CF7" w14:textId="422BD525" w:rsidR="009579D0" w:rsidRDefault="0005725C" w:rsidP="000572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</w:pPr>
            <w:r w:rsidRPr="0005725C"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  <w:t>Projekt zaměřený na učebny neúplných škol musí být realizován v neúplné škole definované</w:t>
            </w:r>
            <w:r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  <w:t xml:space="preserve"> Specifickými pravidly ŘO IROP.</w:t>
            </w:r>
            <w:r w:rsidRPr="0005725C"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  <w:t xml:space="preserve"> </w:t>
            </w:r>
          </w:p>
          <w:p w14:paraId="269CC8E8" w14:textId="67D4254D" w:rsidR="00E62F22" w:rsidRDefault="00E62F22" w:rsidP="000572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</w:pPr>
          </w:p>
          <w:p w14:paraId="50A7DD94" w14:textId="139EB64E" w:rsidR="00E62F22" w:rsidRPr="00E62F22" w:rsidRDefault="00E62F22" w:rsidP="00E62F22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E62F22">
              <w:rPr>
                <w:rStyle w:val="markedcontent"/>
                <w:rFonts w:asciiTheme="minorHAnsi" w:hAnsiTheme="minorHAnsi" w:cstheme="minorHAnsi"/>
              </w:rPr>
              <w:t xml:space="preserve">Učebny, výukové prostory, kabinety, šatny a hygienická zařízení, školní poradenská pracoviště, družiny, školní kluby a zázemí pro komunitní aktivity podpořené z IROP </w:t>
            </w:r>
            <w:r>
              <w:rPr>
                <w:rStyle w:val="markedcontent"/>
                <w:rFonts w:asciiTheme="minorHAnsi" w:hAnsiTheme="minorHAnsi" w:cstheme="minorHAnsi"/>
              </w:rPr>
              <w:t>musejí být</w:t>
            </w:r>
            <w:r w:rsidRPr="00E62F22">
              <w:rPr>
                <w:rStyle w:val="markedcontent"/>
                <w:rFonts w:asciiTheme="minorHAnsi" w:hAnsiTheme="minorHAnsi" w:cstheme="minorHAnsi"/>
              </w:rPr>
              <w:t xml:space="preserve"> bezbariérově dostupné. Základním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požadavkem je bezbariérová </w:t>
            </w:r>
            <w:r w:rsidRPr="00E62F22">
              <w:rPr>
                <w:rStyle w:val="markedcontent"/>
                <w:rFonts w:asciiTheme="minorHAnsi" w:hAnsiTheme="minorHAnsi" w:cstheme="minorHAnsi"/>
              </w:rPr>
              <w:t>toaleta a umožnění volného pohybu osob na vozíku od vstupu do budovy po vstup do prostor podpořených z IROP.</w:t>
            </w:r>
          </w:p>
          <w:p w14:paraId="56298944" w14:textId="77777777" w:rsidR="00652F7A" w:rsidRDefault="00652F7A" w:rsidP="000572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</w:pPr>
          </w:p>
          <w:p w14:paraId="62A77D4D" w14:textId="668CCFDB" w:rsidR="00652F7A" w:rsidRPr="0005725C" w:rsidRDefault="00652F7A" w:rsidP="0005725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  <w:t xml:space="preserve">Typy podporovaných aktivit jsou podrobněji popsány </w:t>
            </w:r>
            <w:r>
              <w:rPr>
                <w:rFonts w:asciiTheme="minorHAnsi" w:eastAsiaTheme="minorHAnsi" w:hAnsiTheme="minorHAnsi" w:cstheme="minorHAnsi"/>
                <w:b/>
                <w:iCs/>
                <w:color w:val="000000"/>
                <w:lang w:eastAsia="en-US"/>
              </w:rPr>
              <w:t>ve Specifických pravidlech pro žadatele a příjemce, které jsou součástí výše uvedené výzvy ŘO IROP.</w:t>
            </w:r>
          </w:p>
          <w:p w14:paraId="55AF5491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E57295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AD54D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D692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0810EF7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AC4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2D3B8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3D88993F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7DA64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252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2C3BDA9B" w14:textId="77777777" w:rsidTr="00377A4D">
        <w:trPr>
          <w:trHeight w:val="450"/>
        </w:trPr>
        <w:tc>
          <w:tcPr>
            <w:tcW w:w="5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C953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73AEA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4BD102DA" w14:textId="77777777" w:rsidTr="00BA1720">
        <w:trPr>
          <w:trHeight w:val="360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E3D9C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 xml:space="preserve">Území realizace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E4038" w14:textId="77777777" w:rsidR="0041673B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41673B">
              <w:rPr>
                <w:rStyle w:val="markedcontent"/>
                <w:rFonts w:asciiTheme="minorHAnsi" w:hAnsiTheme="minorHAnsi" w:cstheme="minorHAnsi"/>
              </w:rPr>
              <w:t xml:space="preserve">Místo realizace se musí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nacházet na území MAS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vymezeném ve schválené strategii CLLD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– </w:t>
            </w:r>
            <w:hyperlink r:id="rId8" w:history="1">
              <w:r w:rsidRPr="0041673B">
                <w:rPr>
                  <w:rStyle w:val="Hypertextovodkaz"/>
                  <w:rFonts w:asciiTheme="minorHAnsi" w:hAnsiTheme="minorHAnsi" w:cstheme="minorHAnsi"/>
                </w:rPr>
                <w:t>Odkaz</w:t>
              </w:r>
            </w:hyperlink>
            <w:r>
              <w:rPr>
                <w:rStyle w:val="markedcontent"/>
                <w:rFonts w:asciiTheme="minorHAnsi" w:hAnsiTheme="minorHAnsi" w:cstheme="minorHAnsi"/>
              </w:rPr>
              <w:t>.</w:t>
            </w:r>
          </w:p>
          <w:p w14:paraId="4082872D" w14:textId="77777777" w:rsidR="00753D29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41673B">
              <w:rPr>
                <w:rStyle w:val="markedcontent"/>
                <w:rFonts w:asciiTheme="minorHAnsi" w:hAnsiTheme="minorHAnsi" w:cstheme="minorHAnsi"/>
              </w:rPr>
              <w:t>Místem realizace se rozumí obec (město), kde probíhá / bude probíhat fyzická realizace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projektu, kde vznikají / budou vznikat výstupy projektu.</w:t>
            </w:r>
            <w:r w:rsidRPr="0041673B">
              <w:rPr>
                <w:rFonts w:asciiTheme="minorHAnsi" w:hAnsiTheme="minorHAnsi" w:cstheme="minorHAnsi"/>
              </w:rPr>
              <w:br/>
            </w:r>
            <w:r w:rsidRPr="0041673B">
              <w:rPr>
                <w:rStyle w:val="markedcontent"/>
                <w:rFonts w:asciiTheme="minorHAnsi" w:hAnsiTheme="minorHAnsi" w:cstheme="minorHAnsi"/>
              </w:rPr>
              <w:t>Za místo realizace se nepovažuje území dopadu, území, které má benefity z realizace dané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41673B">
              <w:rPr>
                <w:rStyle w:val="markedcontent"/>
                <w:rFonts w:asciiTheme="minorHAnsi" w:hAnsiTheme="minorHAnsi" w:cstheme="minorHAnsi"/>
              </w:rPr>
              <w:t>intervence v daném místě realizace, ani spádové území či působnost dané instituce apod.</w:t>
            </w:r>
          </w:p>
          <w:p w14:paraId="6A88933A" w14:textId="77777777" w:rsidR="0041673B" w:rsidRDefault="0041673B" w:rsidP="0041673B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Územní působnost MAS: </w:t>
            </w:r>
            <w:hyperlink r:id="rId9" w:history="1">
              <w:r w:rsidRPr="0069367E">
                <w:rPr>
                  <w:rStyle w:val="Hypertextovodkaz"/>
                  <w:rFonts w:asciiTheme="minorHAnsi" w:hAnsiTheme="minorHAnsi" w:cstheme="minorHAnsi"/>
                </w:rPr>
                <w:t>https://www.kyjovske-slovacko.com/cs/mapy-uzemi</w:t>
              </w:r>
            </w:hyperlink>
          </w:p>
          <w:p w14:paraId="1484F5A9" w14:textId="77777777" w:rsidR="0041673B" w:rsidRPr="0041673B" w:rsidRDefault="0041673B" w:rsidP="0041673B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tr w:rsidR="00753D29" w:rsidRPr="00BA701F" w14:paraId="6A9E5DD3" w14:textId="77777777" w:rsidTr="00BA1720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67305A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Oprávnění žadatelé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6A74B" w14:textId="77777777" w:rsidR="00592EB2" w:rsidRPr="00592EB2" w:rsidRDefault="00592EB2" w:rsidP="00592EB2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14" w:hanging="357"/>
              <w:contextualSpacing w:val="0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592EB2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kraje </w:t>
            </w:r>
          </w:p>
          <w:p w14:paraId="333C9D5F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obce </w:t>
            </w:r>
          </w:p>
          <w:p w14:paraId="376E1709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dobrovolné svazky obcí </w:t>
            </w:r>
          </w:p>
          <w:p w14:paraId="15767FBA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organizace zřizované nebo zakládané kraji </w:t>
            </w:r>
          </w:p>
          <w:p w14:paraId="7E0EB2AC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organizace zřizované nebo zakládané obcemi </w:t>
            </w:r>
          </w:p>
          <w:p w14:paraId="14E961DB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nestátní neziskové organizace, které minimálně 2 roky bezprostředně před podáním žádosti nepřetržitě působí v oblasti vzdělávání nebo asistenčních služeb </w:t>
            </w:r>
          </w:p>
          <w:p w14:paraId="585BBB4A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církve </w:t>
            </w:r>
          </w:p>
          <w:p w14:paraId="522CF094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církevní organizace </w:t>
            </w:r>
          </w:p>
          <w:p w14:paraId="211650C8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organizační složky státu </w:t>
            </w:r>
          </w:p>
          <w:p w14:paraId="7025DB86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příspěvkové organizace organizačních složek státu </w:t>
            </w:r>
          </w:p>
          <w:p w14:paraId="77639FD5" w14:textId="77777777" w:rsid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školské právnické osoby </w:t>
            </w:r>
          </w:p>
          <w:p w14:paraId="43F7ADD5" w14:textId="77777777" w:rsidR="00592EB2" w:rsidRPr="00592EB2" w:rsidRDefault="00592EB2" w:rsidP="00592EB2">
            <w:pPr>
              <w:pStyle w:val="Default"/>
              <w:numPr>
                <w:ilvl w:val="0"/>
                <w:numId w:val="1"/>
              </w:numPr>
              <w:spacing w:after="120"/>
              <w:ind w:left="714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592EB2">
              <w:rPr>
                <w:rFonts w:asciiTheme="minorHAnsi" w:hAnsiTheme="minorHAnsi" w:cstheme="minorHAnsi"/>
                <w:sz w:val="22"/>
                <w:szCs w:val="22"/>
              </w:rPr>
              <w:t xml:space="preserve">ostatní právnické osoby, vykonávající činnost škol a školských zařízení, zapsané v Rejstříku škol a školských zařízení (např. akciové společnosti, komanditní společnosti, společnosti s ručením omezeným, veřejné obchodní společnosti) </w:t>
            </w:r>
          </w:p>
          <w:p w14:paraId="0FD49D2C" w14:textId="77777777" w:rsidR="00753D29" w:rsidRPr="00592EB2" w:rsidRDefault="00592EB2" w:rsidP="00592EB2">
            <w:pPr>
              <w:pStyle w:val="Default"/>
              <w:spacing w:after="120"/>
              <w:ind w:left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Žadatel či osoby ovládající právnickou osobu žadatele nesmí být evidováni na sankčním seznamu / rejstříku EU v kategorii finančních sankcí.</w:t>
            </w:r>
          </w:p>
        </w:tc>
      </w:tr>
      <w:tr w:rsidR="00753D29" w:rsidRPr="00BA701F" w14:paraId="73DE90AA" w14:textId="77777777" w:rsidTr="00377A4D">
        <w:trPr>
          <w:trHeight w:val="696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2545F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lastRenderedPageBreak/>
              <w:t>Cílová skupina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BAFDC" w14:textId="77777777" w:rsidR="00295FFC" w:rsidRPr="00295FFC" w:rsidRDefault="00295FFC" w:rsidP="00295FFC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Obyvatelé a subjekty působící na území působnosti MAS a návštěvníci území působnosti MAS: </w:t>
            </w:r>
          </w:p>
          <w:p w14:paraId="5EC63B40" w14:textId="77777777" w:rsidR="00295FFC" w:rsidRPr="00295FFC" w:rsidRDefault="00295FFC" w:rsidP="00295FF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rodiče </w:t>
            </w:r>
          </w:p>
          <w:p w14:paraId="75DBE628" w14:textId="77777777" w:rsidR="00295FFC" w:rsidRPr="00295FFC" w:rsidRDefault="00295FFC" w:rsidP="00295FF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žáci </w:t>
            </w:r>
          </w:p>
          <w:p w14:paraId="1019798E" w14:textId="77777777" w:rsidR="00295FFC" w:rsidRPr="00295FFC" w:rsidRDefault="00295FFC" w:rsidP="00295FF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osoby se speciálními vzdělávacími potřebami </w:t>
            </w:r>
          </w:p>
          <w:p w14:paraId="3C58FB27" w14:textId="77777777" w:rsidR="00295FFC" w:rsidRPr="00295FFC" w:rsidRDefault="00295FFC" w:rsidP="00295FF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pedagogičtí pracovníci, nepedagogičtí pracovníci ZŠ, SŠ a SŠ/VOŠ </w:t>
            </w:r>
          </w:p>
          <w:p w14:paraId="3CA7D458" w14:textId="77777777" w:rsidR="00295FFC" w:rsidRPr="00295FFC" w:rsidRDefault="00295FFC" w:rsidP="00295FF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pracovníci a dobrovolní pracovníci organizací působících v oblasti vzdělávání nebo asistenčních služeb a v oblasti neformálního a zájmového vzdělávání dětí a mládeže </w:t>
            </w:r>
          </w:p>
          <w:p w14:paraId="0D8A1142" w14:textId="77777777" w:rsidR="00295FFC" w:rsidRPr="00295FFC" w:rsidRDefault="00295FFC" w:rsidP="00295FF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národnostní skupiny (zejména Romové) </w:t>
            </w:r>
          </w:p>
          <w:p w14:paraId="04C4C9ED" w14:textId="77777777" w:rsidR="00295FFC" w:rsidRPr="00295FFC" w:rsidRDefault="00295FFC" w:rsidP="00295FF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62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uprchlíci </w:t>
            </w:r>
          </w:p>
          <w:p w14:paraId="0C833E60" w14:textId="77777777" w:rsidR="00295FFC" w:rsidRPr="00295FFC" w:rsidRDefault="00295FFC" w:rsidP="00295FF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eastAsiaTheme="minorHAnsi" w:hAnsiTheme="minorHAnsi" w:cstheme="minorHAnsi"/>
                <w:color w:val="000000"/>
                <w:lang w:eastAsia="en-US"/>
              </w:rPr>
            </w:pPr>
            <w:r w:rsidRPr="00295FFC">
              <w:rPr>
                <w:rFonts w:asciiTheme="minorHAnsi" w:eastAsiaTheme="minorHAnsi" w:hAnsiTheme="minorHAnsi" w:cstheme="minorHAnsi"/>
                <w:color w:val="000000"/>
                <w:lang w:eastAsia="en-US"/>
              </w:rPr>
              <w:t xml:space="preserve">migranti </w:t>
            </w:r>
          </w:p>
          <w:p w14:paraId="21FCA1F9" w14:textId="77777777" w:rsidR="00753D29" w:rsidRPr="00BA701F" w:rsidRDefault="00753D29" w:rsidP="00377A4D">
            <w:pPr>
              <w:spacing w:after="0"/>
              <w:jc w:val="center"/>
              <w:rPr>
                <w:rFonts w:eastAsia="Times New Roman"/>
                <w:color w:val="000000"/>
              </w:rPr>
            </w:pPr>
          </w:p>
        </w:tc>
      </w:tr>
      <w:tr w:rsidR="00753D29" w:rsidRPr="00BA701F" w14:paraId="1BD742DA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C757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1890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3E5DB89F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C664F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Věcné zaměření</w:t>
            </w:r>
          </w:p>
        </w:tc>
      </w:tr>
      <w:tr w:rsidR="00753D29" w:rsidRPr="00BA701F" w14:paraId="3D23ED36" w14:textId="77777777" w:rsidTr="00D7257E">
        <w:trPr>
          <w:trHeight w:val="1941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807006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Indikátory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5BDD" w14:textId="77777777" w:rsidR="00753D29" w:rsidRDefault="00AC1DC6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Informace k indikátorům jsou obsaženy v Obecných a Specifických pravidlech výzvy ŘO IROP. Konkrétní popis jednotlivých indikátorů je přílohou č. 1B Specifických pravidel pro žadatele a příjemce. </w:t>
            </w:r>
          </w:p>
          <w:p w14:paraId="4A0F0447" w14:textId="77777777" w:rsidR="00AC1DC6" w:rsidRPr="00BA701F" w:rsidRDefault="009D7659" w:rsidP="00D7257E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Žadatel je povinen vybrat relevantní indikátory pro realizovanou aktivitu.</w:t>
            </w:r>
          </w:p>
        </w:tc>
      </w:tr>
      <w:tr w:rsidR="004E1A59" w:rsidRPr="00BA701F" w14:paraId="0EBCAE95" w14:textId="77777777" w:rsidTr="00D7257E">
        <w:trPr>
          <w:trHeight w:val="3542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2588A31" w14:textId="3FA78703" w:rsidR="004E1A59" w:rsidRPr="00BA701F" w:rsidRDefault="004E1A59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Vazba na SR MAP 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CB1B6" w14:textId="6706A242" w:rsidR="00607B07" w:rsidRPr="001C72BF" w:rsidRDefault="001C72BF" w:rsidP="004E1A59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1C72BF">
              <w:rPr>
                <w:rFonts w:eastAsia="Times New Roman"/>
                <w:color w:val="000000"/>
              </w:rPr>
              <w:t>Podaný projektový záměr musí být v souladu s projektem uvedeným ve Strategickém rámci MAP</w:t>
            </w:r>
            <w:r>
              <w:rPr>
                <w:rFonts w:eastAsia="Times New Roman"/>
                <w:color w:val="000000"/>
              </w:rPr>
              <w:t xml:space="preserve"> 2021+</w:t>
            </w:r>
            <w:r w:rsidRPr="001C72BF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 xml:space="preserve">zveřejněném na stránce: </w:t>
            </w:r>
            <w:hyperlink r:id="rId10" w:history="1">
              <w:r w:rsidRPr="0019155C">
                <w:rPr>
                  <w:rStyle w:val="Hypertextovodkaz"/>
                  <w:rFonts w:eastAsia="Times New Roman"/>
                </w:rPr>
                <w:t>https://www.mmr.cz/cs/microsites/uzemni-dimenze/regionalni-rozvoj/map-kap/strategicke-ramce-map-2021</w:t>
              </w:r>
            </w:hyperlink>
          </w:p>
          <w:p w14:paraId="49BA64E0" w14:textId="5E8BBA05" w:rsidR="00607B07" w:rsidRPr="00DB3AD4" w:rsidRDefault="00DB3AD4" w:rsidP="00DB3AD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C</w:t>
            </w:r>
            <w:r w:rsidR="00607B07" w:rsidRPr="00DB3AD4">
              <w:rPr>
                <w:rFonts w:eastAsia="Times New Roman"/>
                <w:color w:val="000000"/>
              </w:rPr>
              <w:t xml:space="preserve">elkové způsobilé výdaje projektu v předložené žádosti o podporu nepřesahují celkové výdaje projektu uvedené v SR </w:t>
            </w:r>
            <w:r>
              <w:rPr>
                <w:rFonts w:eastAsia="Times New Roman"/>
                <w:color w:val="000000"/>
              </w:rPr>
              <w:t>MAP.</w:t>
            </w:r>
          </w:p>
        </w:tc>
      </w:tr>
      <w:tr w:rsidR="00753D29" w:rsidRPr="00BA701F" w14:paraId="1A9707CE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0D28" w14:textId="77777777" w:rsidR="00753D29" w:rsidRPr="00BA701F" w:rsidRDefault="00753D29" w:rsidP="00106376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7785" w14:textId="77777777" w:rsidR="00753D29" w:rsidRPr="00BA701F" w:rsidRDefault="00753D29" w:rsidP="00106376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3D29" w:rsidRPr="00BA701F" w14:paraId="0BA03481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131F30" w14:textId="77777777" w:rsidR="00753D29" w:rsidRPr="00BA701F" w:rsidRDefault="00753D29" w:rsidP="00106376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Náležitosti žádosti o podporu</w:t>
            </w:r>
          </w:p>
        </w:tc>
      </w:tr>
      <w:tr w:rsidR="0043799C" w:rsidRPr="00BA701F" w14:paraId="376F753C" w14:textId="77777777" w:rsidTr="00A05B13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F7F5" w14:textId="228BB5F6" w:rsidR="0043799C" w:rsidRPr="00BA701F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Povinné přílohy žádosti o dotaci</w:t>
            </w:r>
            <w:r>
              <w:rPr>
                <w:rFonts w:eastAsia="Times New Roman"/>
                <w:b/>
                <w:bCs/>
                <w:color w:val="000000"/>
              </w:rPr>
              <w:t xml:space="preserve"> (projektového záměru)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233B" w14:textId="5905F61C" w:rsidR="0043799C" w:rsidRPr="009D7659" w:rsidRDefault="0043799C" w:rsidP="00C71BE8">
            <w:pPr>
              <w:spacing w:after="0"/>
              <w:jc w:val="left"/>
              <w:rPr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Plná moc - </w:t>
            </w:r>
            <w:r>
              <w:rPr>
                <w:rStyle w:val="markedcontent"/>
                <w:rFonts w:asciiTheme="minorHAnsi" w:hAnsiTheme="minorHAnsi" w:cstheme="minorHAnsi"/>
              </w:rPr>
              <w:t>d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okládá se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pouze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 v případě přenesení pravomocí 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statutárního zástupce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žadatele na jinou</w:t>
            </w:r>
            <w:r w:rsidRPr="009D7659"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osobu. Plná moc/pověření musí obsahovat, kdo je kým pověřen, co je předmětem pověření,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dobu účinnosti a datum zánik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u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>pověření. V případě obcí/krajů může být plná moc nahrazena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D7659">
              <w:rPr>
                <w:rStyle w:val="markedcontent"/>
                <w:rFonts w:asciiTheme="minorHAnsi" w:hAnsiTheme="minorHAnsi" w:cstheme="minorHAnsi"/>
              </w:rPr>
              <w:t xml:space="preserve">usnesením zastupitelstva/rady. </w:t>
            </w:r>
          </w:p>
        </w:tc>
      </w:tr>
      <w:tr w:rsidR="0043799C" w:rsidRPr="00BA701F" w14:paraId="6915280B" w14:textId="77777777" w:rsidTr="00A05B13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60BA" w14:textId="77777777" w:rsidR="0043799C" w:rsidRPr="00BA701F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8A8EB" w14:textId="5AB9CED6" w:rsidR="0043799C" w:rsidRPr="00BA701F" w:rsidRDefault="0043799C" w:rsidP="00AD6C85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2. Čestné prohlášení žadatele k schopnosti doložit přílohy vyžadované ŘO IROP (viz vzor) v období mezi Vydáním souladu projektového záměru se SCLLD 21-27 a podáním projektu v systému MS2021+.</w:t>
            </w:r>
          </w:p>
        </w:tc>
      </w:tr>
      <w:tr w:rsidR="0043799C" w:rsidRPr="00BA701F" w14:paraId="3BD0F1E1" w14:textId="77777777" w:rsidTr="00A05B13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24AE" w14:textId="77777777" w:rsidR="0043799C" w:rsidRPr="00BA701F" w:rsidRDefault="0043799C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1CA0" w14:textId="5F143F33" w:rsidR="0043799C" w:rsidRPr="00F75564" w:rsidRDefault="0043799C" w:rsidP="00106376">
            <w:pPr>
              <w:spacing w:after="0"/>
              <w:jc w:val="left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Pr="007A2B23">
              <w:rPr>
                <w:rFonts w:eastAsia="Times New Roman"/>
                <w:color w:val="000000"/>
              </w:rPr>
              <w:t>. Položkový rozpočet projektu</w:t>
            </w:r>
            <w:r>
              <w:rPr>
                <w:rFonts w:eastAsia="Times New Roman"/>
                <w:color w:val="000000"/>
              </w:rPr>
              <w:t xml:space="preserve"> (součástí je také tabulka k ověření limitů)</w:t>
            </w:r>
          </w:p>
        </w:tc>
      </w:tr>
      <w:tr w:rsidR="00244C75" w:rsidRPr="00BA701F" w14:paraId="7148588D" w14:textId="77777777" w:rsidTr="00E747AA">
        <w:trPr>
          <w:trHeight w:val="288"/>
        </w:trPr>
        <w:tc>
          <w:tcPr>
            <w:tcW w:w="53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EA427" w14:textId="5BA134F6" w:rsidR="00244C75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Nepovinné</w:t>
            </w:r>
            <w:r w:rsidRPr="00BA701F">
              <w:rPr>
                <w:rFonts w:eastAsia="Times New Roman"/>
                <w:b/>
                <w:bCs/>
                <w:color w:val="000000"/>
              </w:rPr>
              <w:t xml:space="preserve"> přílohy žádosti o dotaci</w:t>
            </w:r>
            <w:r>
              <w:rPr>
                <w:rFonts w:eastAsia="Times New Roman"/>
                <w:b/>
                <w:bCs/>
                <w:color w:val="000000"/>
              </w:rPr>
              <w:t xml:space="preserve"> (projektového záměru) </w:t>
            </w:r>
            <w:r w:rsidRPr="00BD2AF7">
              <w:rPr>
                <w:rFonts w:eastAsia="Times New Roman"/>
                <w:b/>
                <w:bCs/>
                <w:color w:val="000000"/>
              </w:rPr>
              <w:t xml:space="preserve">– </w:t>
            </w:r>
            <w:r w:rsidRPr="00BD2AF7">
              <w:rPr>
                <w:rFonts w:eastAsia="Times New Roman"/>
                <w:bCs/>
                <w:color w:val="000000"/>
              </w:rPr>
              <w:t xml:space="preserve">přílohy pro </w:t>
            </w:r>
            <w:r w:rsidRPr="00BD2AF7">
              <w:rPr>
                <w:rFonts w:eastAsia="Times New Roman"/>
                <w:color w:val="000000"/>
              </w:rPr>
              <w:t xml:space="preserve">vyhodnocení Kritérií </w:t>
            </w:r>
            <w:r w:rsidRPr="00BD2AF7">
              <w:t>pro posouzení věcné fáze procesu souladu projektového záměru se SCLLD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3EF7" w14:textId="23FAD77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1.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Doklad prokazující povolení k realizaci stavby dle stavebního zákona</w:t>
            </w:r>
          </w:p>
        </w:tc>
      </w:tr>
      <w:tr w:rsidR="00244C75" w:rsidRPr="00BA701F" w14:paraId="1A81E55E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31C0" w14:textId="7CA8325E" w:rsidR="00244C75" w:rsidRPr="00BA701F" w:rsidRDefault="00244C75" w:rsidP="00106376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4CD1" w14:textId="7D74AEE6" w:rsidR="00244C75" w:rsidRPr="004147E4" w:rsidRDefault="004147E4" w:rsidP="00106376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2. </w:t>
            </w:r>
            <w:r w:rsidR="00244C75" w:rsidRPr="004147E4">
              <w:rPr>
                <w:rStyle w:val="markedcontent"/>
                <w:rFonts w:asciiTheme="minorHAnsi" w:hAnsiTheme="minorHAnsi" w:cstheme="minorHAnsi"/>
              </w:rPr>
              <w:t>Čestné prohlášení žadatele, že k realizaci projektu není třeba doklad prokazující povolení k realizaci stavby dle stavebního zákona</w:t>
            </w:r>
          </w:p>
        </w:tc>
      </w:tr>
      <w:tr w:rsidR="004E6444" w:rsidRPr="00BA701F" w14:paraId="6A83FEF4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48FFC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F4DF" w14:textId="46F4BB60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3. </w:t>
            </w:r>
            <w:r w:rsidRPr="004147E4">
              <w:rPr>
                <w:rStyle w:val="markedcontent"/>
                <w:rFonts w:asciiTheme="minorHAnsi" w:hAnsiTheme="minorHAnsi" w:cstheme="minorHAnsi"/>
              </w:rPr>
              <w:t>Dohoda o využívání výstupu projektu</w:t>
            </w:r>
          </w:p>
        </w:tc>
      </w:tr>
      <w:tr w:rsidR="004E6444" w:rsidRPr="00BA701F" w14:paraId="45D65775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8BED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1786" w14:textId="49FC8894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4. </w:t>
            </w:r>
            <w:r w:rsidRPr="004147E4">
              <w:rPr>
                <w:rStyle w:val="markedcontent"/>
                <w:rFonts w:asciiTheme="minorHAnsi" w:hAnsiTheme="minorHAnsi" w:cstheme="minorHAnsi"/>
              </w:rPr>
              <w:t>Čestné prohlášení o realizaci mimoškolních a zájmových aktivit dětí a mládeže</w:t>
            </w:r>
          </w:p>
        </w:tc>
      </w:tr>
      <w:tr w:rsidR="004E6444" w:rsidRPr="00BA701F" w14:paraId="56DDD8E9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E5ECE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F66F6" w14:textId="6BCDE29B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5. </w:t>
            </w:r>
            <w:r w:rsidRPr="004147E4">
              <w:rPr>
                <w:rStyle w:val="markedcontent"/>
                <w:rFonts w:asciiTheme="minorHAnsi" w:hAnsiTheme="minorHAnsi" w:cstheme="minorHAnsi"/>
              </w:rPr>
              <w:t>Dohoda o spolupráci</w:t>
            </w:r>
          </w:p>
        </w:tc>
      </w:tr>
      <w:tr w:rsidR="004E6444" w:rsidRPr="00BA701F" w14:paraId="1135B6BF" w14:textId="77777777" w:rsidTr="004147E4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D7521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0D79" w14:textId="2F583115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>
              <w:rPr>
                <w:rStyle w:val="markedcontent"/>
                <w:rFonts w:asciiTheme="minorHAnsi" w:hAnsiTheme="minorHAnsi" w:cstheme="minorHAnsi"/>
              </w:rPr>
              <w:t xml:space="preserve">6. </w:t>
            </w:r>
            <w:r w:rsidRPr="00E97716">
              <w:rPr>
                <w:rStyle w:val="markedcontent"/>
              </w:rPr>
              <w:t xml:space="preserve">Čestné prohlášení o závazku k absolvování vzdělávání v oblasti pedagogického </w:t>
            </w:r>
            <w:proofErr w:type="spellStart"/>
            <w:r w:rsidRPr="00E97716">
              <w:rPr>
                <w:rStyle w:val="markedcontent"/>
              </w:rPr>
              <w:t>Leadershipu</w:t>
            </w:r>
            <w:proofErr w:type="spellEnd"/>
          </w:p>
        </w:tc>
      </w:tr>
      <w:tr w:rsidR="004E6444" w:rsidRPr="00BA701F" w14:paraId="0B5D48DC" w14:textId="77777777" w:rsidTr="004147E4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B0846B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DE35" w14:textId="106A5C74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7B0EF42E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0DCD7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4F16E" w14:textId="5B92AE70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66CD4063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BA862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EF9E" w14:textId="10D2B781" w:rsidR="004E6444" w:rsidRPr="004147E4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</w:p>
        </w:tc>
      </w:tr>
      <w:tr w:rsidR="004E6444" w:rsidRPr="00BA701F" w14:paraId="111E90D7" w14:textId="77777777" w:rsidTr="00E747AA">
        <w:trPr>
          <w:trHeight w:val="288"/>
        </w:trPr>
        <w:tc>
          <w:tcPr>
            <w:tcW w:w="5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F47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DBB7E" w14:textId="603051D1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2DEC72EB" w14:textId="77777777" w:rsidTr="00106376">
        <w:trPr>
          <w:trHeight w:val="300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4732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320C2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46574C89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3015CF0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Způsobilé výdaje</w:t>
            </w:r>
          </w:p>
        </w:tc>
      </w:tr>
      <w:tr w:rsidR="004E6444" w:rsidRPr="00BA701F" w14:paraId="5962B21E" w14:textId="77777777" w:rsidTr="00106376">
        <w:trPr>
          <w:trHeight w:val="288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00C72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Věcná způsobilost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1BD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Způsobilost výdajů se řídí Obecnými a Specifickými pravidly výzvy ŘO IROP.</w:t>
            </w:r>
          </w:p>
          <w:p w14:paraId="2908BEB6" w14:textId="77777777" w:rsidR="004E6444" w:rsidRPr="00AC1DC6" w:rsidRDefault="004E6444" w:rsidP="004E6444">
            <w:pPr>
              <w:spacing w:after="0"/>
              <w:jc w:val="left"/>
              <w:rPr>
                <w:rStyle w:val="markedcontent"/>
                <w:rFonts w:asciiTheme="minorHAnsi" w:hAnsiTheme="minorHAnsi" w:cstheme="minorHAnsi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Způsobilé výdaje se dělí </w:t>
            </w:r>
            <w:proofErr w:type="gramStart"/>
            <w:r w:rsidRPr="002E34AE">
              <w:rPr>
                <w:rStyle w:val="markedcontent"/>
                <w:rFonts w:asciiTheme="minorHAnsi" w:hAnsiTheme="minorHAnsi" w:cstheme="minorHAnsi"/>
              </w:rPr>
              <w:t>na</w:t>
            </w:r>
            <w:proofErr w:type="gramEnd"/>
            <w:r w:rsidRPr="002E34AE">
              <w:rPr>
                <w:rStyle w:val="markedcontent"/>
                <w:rFonts w:asciiTheme="minorHAnsi" w:hAnsiTheme="minorHAnsi" w:cstheme="minorHAnsi"/>
              </w:rPr>
              <w:t>:</w:t>
            </w:r>
            <w:r w:rsidRPr="002E34AE">
              <w:rPr>
                <w:rFonts w:asciiTheme="minorHAnsi" w:hAnsiTheme="minorHAnsi" w:cstheme="minorHAnsi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přímé výdaje, které musí být doloženy daňovými,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účetními či dalšími doklady dle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kapitoly 3.3.6.5 Specifických pravidel</w:t>
            </w:r>
            <w:r>
              <w:rPr>
                <w:rStyle w:val="markedcontent"/>
                <w:rFonts w:asciiTheme="minorHAnsi" w:hAnsiTheme="minorHAnsi" w:cstheme="minorHAnsi"/>
              </w:rPr>
              <w:t xml:space="preserve"> pro žadatele a příjemce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 xml:space="preserve"> a na jejichž základě dojde k</w:t>
            </w:r>
            <w:r>
              <w:rPr>
                <w:rStyle w:val="markedcontent"/>
                <w:rFonts w:asciiTheme="minorHAnsi" w:hAnsiTheme="minorHAnsi" w:cstheme="minorHAnsi"/>
              </w:rPr>
              <w:t> 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výpočtu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paušálních nákladů,</w:t>
            </w:r>
            <w:r w:rsidRPr="002E34AE">
              <w:rPr>
                <w:rStyle w:val="markedcontent"/>
              </w:rPr>
              <w:br/>
            </w:r>
            <w:r w:rsidRPr="002E34AE">
              <w:rPr>
                <w:rStyle w:val="markedcontent"/>
                <w:rFonts w:asciiTheme="minorHAnsi" w:hAnsiTheme="minorHAnsi" w:cstheme="minorHAnsi"/>
              </w:rPr>
              <w:sym w:font="Symbol" w:char="F0B7"/>
            </w:r>
            <w:r w:rsidRPr="00AC1DC6">
              <w:rPr>
                <w:rStyle w:val="markedcontent"/>
                <w:rFonts w:asciiTheme="minorHAnsi" w:hAnsiTheme="minorHAnsi" w:cstheme="minorHAnsi"/>
              </w:rPr>
              <w:t xml:space="preserve"> nepřímé, paušální náklady, jejichž výše je stanovena za pomoci paušální sazby</w:t>
            </w:r>
            <w:r w:rsidRPr="002E34AE">
              <w:rPr>
                <w:rStyle w:val="markedcontent"/>
              </w:rPr>
              <w:t xml:space="preserve"> </w:t>
            </w:r>
            <w:r w:rsidRPr="00AC1DC6">
              <w:rPr>
                <w:rStyle w:val="markedcontent"/>
                <w:rFonts w:asciiTheme="minorHAnsi" w:hAnsiTheme="minorHAnsi" w:cstheme="minorHAnsi"/>
              </w:rPr>
              <w:t>a které není potřeba prokazovat daňovými, účetními či dalšími doklady. Při financování projektu bude využita paušální sazba ve výši 7 % na paušální náklady.</w:t>
            </w:r>
          </w:p>
          <w:p w14:paraId="4F8917CB" w14:textId="77777777" w:rsidR="004E6444" w:rsidRPr="002E34AE" w:rsidRDefault="004E6444" w:rsidP="004E644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</w:rPr>
            </w:pPr>
            <w:r w:rsidRPr="002E34AE">
              <w:rPr>
                <w:rStyle w:val="markedcontent"/>
                <w:rFonts w:asciiTheme="minorHAnsi" w:hAnsiTheme="minorHAnsi" w:cstheme="minorHAnsi"/>
              </w:rPr>
              <w:t>Náklady, na</w:t>
            </w:r>
            <w:r w:rsidRPr="002E34AE">
              <w:rPr>
                <w:rStyle w:val="markedcontent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jejichž financování je použita paušální sazba, nelze zahrnout mezi přímé výdaje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2E34AE">
              <w:rPr>
                <w:rStyle w:val="markedcontent"/>
                <w:rFonts w:asciiTheme="minorHAnsi" w:hAnsiTheme="minorHAnsi" w:cstheme="minorHAnsi"/>
              </w:rPr>
              <w:t>projektu.</w:t>
            </w:r>
          </w:p>
        </w:tc>
      </w:tr>
      <w:tr w:rsidR="004E6444" w:rsidRPr="00BA701F" w14:paraId="09F2DDF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580DE7" w14:textId="77777777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Časová způsobilost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A2B10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Je dána obdobím od data zahájení realizace projektu po datum ukončení realizace projektu. </w:t>
            </w:r>
            <w:r w:rsidRPr="00055872">
              <w:rPr>
                <w:rFonts w:eastAsia="Times New Roman"/>
                <w:color w:val="000000"/>
              </w:rPr>
              <w:t>Datem zahájení realizace projektu se rozumí datum prvního právního úkonu týkajícího se aktivit projektu, na které jsou vynaloženy způsobilé výdaje.</w:t>
            </w:r>
          </w:p>
        </w:tc>
      </w:tr>
      <w:tr w:rsidR="004E6444" w:rsidRPr="00BA701F" w14:paraId="69A0E4C2" w14:textId="77777777" w:rsidTr="00627227">
        <w:trPr>
          <w:trHeight w:val="1027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C0C32B1" w14:textId="4FFBFB89" w:rsidR="004E6444" w:rsidRPr="00BA701F" w:rsidRDefault="004E6444" w:rsidP="004E6444">
            <w:pPr>
              <w:spacing w:after="0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Finanční limity Výzvy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5A8A5" w14:textId="779C4C0C" w:rsidR="004E6444" w:rsidRDefault="004E6444" w:rsidP="004E6444">
            <w:pPr>
              <w:pStyle w:val="Odstavecseseznamem"/>
              <w:numPr>
                <w:ilvl w:val="0"/>
                <w:numId w:val="14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 w:rsidRPr="00C40D5B">
              <w:rPr>
                <w:rFonts w:eastAsia="Times New Roman"/>
                <w:color w:val="000000"/>
              </w:rPr>
              <w:t>Přímé výdaje na doprovodnou část projektu mají specifické procentuální limity, které upravují Specifická pravidla pro žadatele a příjemce.</w:t>
            </w:r>
          </w:p>
          <w:p w14:paraId="421E67BD" w14:textId="7C13F609" w:rsidR="004E6444" w:rsidRDefault="004E6444" w:rsidP="004E6444">
            <w:pPr>
              <w:pStyle w:val="Odstavecseseznamem"/>
              <w:numPr>
                <w:ilvl w:val="0"/>
                <w:numId w:val="14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Nákup pozemku má </w:t>
            </w:r>
            <w:r w:rsidRPr="00C40D5B">
              <w:rPr>
                <w:rFonts w:eastAsia="Times New Roman"/>
                <w:color w:val="000000"/>
              </w:rPr>
              <w:t>specifické procentuální limity, které upravují Specifická pravidla pro žadatele a příjemce.</w:t>
            </w:r>
          </w:p>
          <w:p w14:paraId="5B01A842" w14:textId="7FFEC84E" w:rsidR="004E6444" w:rsidRPr="00A861A0" w:rsidRDefault="004E6444" w:rsidP="004E6444">
            <w:pPr>
              <w:pStyle w:val="Odstavecseseznamem"/>
              <w:numPr>
                <w:ilvl w:val="0"/>
                <w:numId w:val="14"/>
              </w:numPr>
              <w:spacing w:after="0"/>
              <w:jc w:val="left"/>
              <w:rPr>
                <w:rFonts w:eastAsia="Times New Roman"/>
                <w:b/>
                <w:color w:val="000000"/>
              </w:rPr>
            </w:pPr>
            <w:r w:rsidRPr="00C40D5B">
              <w:rPr>
                <w:rFonts w:eastAsia="Times New Roman"/>
                <w:color w:val="000000"/>
              </w:rPr>
              <w:t>Nepřímé náklady - Náklady, které nelze při použití paušální sazby 7 % zahrnout mezi přímé výdaje jsou upraveny ve Specifických pravidlech pro žadatele  a příjemce</w:t>
            </w:r>
          </w:p>
        </w:tc>
      </w:tr>
      <w:tr w:rsidR="004E6444" w:rsidRPr="00BA701F" w14:paraId="7FD43B0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F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EFFA" w14:textId="77777777" w:rsidR="004E6444" w:rsidRPr="00BA701F" w:rsidRDefault="004E6444" w:rsidP="004E6444">
            <w:pPr>
              <w:spacing w:after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444" w:rsidRPr="00BA701F" w14:paraId="1FA33F66" w14:textId="77777777" w:rsidTr="00106376">
        <w:trPr>
          <w:trHeight w:val="312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9B3CC" w14:textId="77777777" w:rsidR="004E6444" w:rsidRPr="00BA701F" w:rsidRDefault="004E6444" w:rsidP="004E6444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r w:rsidRPr="00BA701F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Další detaily výzvy</w:t>
            </w:r>
          </w:p>
        </w:tc>
      </w:tr>
      <w:tr w:rsidR="004E6444" w:rsidRPr="00BA701F" w14:paraId="6B5DC6D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C3FEE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Způsob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79FE3" w14:textId="63156E0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hodnocení projektů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5 viz odkaz níže. </w:t>
            </w:r>
          </w:p>
        </w:tc>
      </w:tr>
      <w:tr w:rsidR="004E6444" w:rsidRPr="00BA701F" w14:paraId="24AC2795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A21E3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Kritéria pro hodnocení projektů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FB96F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Kritéria pro hodnocení projektů jsou přílohou této výzvy. Kritéria jsou stanovena pro administrativní i věcnou fázi posouzení souladu. Tvorbu kritérií upravují podrobně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3 viz odkaz níže.</w:t>
            </w:r>
          </w:p>
          <w:p w14:paraId="716E0469" w14:textId="0EC9C878" w:rsidR="00BF26A4" w:rsidRPr="00BA701F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bookmarkStart w:id="0" w:name="_GoBack"/>
            <w:r>
              <w:rPr>
                <w:rFonts w:eastAsia="Times New Roman"/>
                <w:color w:val="000000"/>
              </w:rPr>
              <w:t>MAS si vyhrazuje právo vyžádat si  ke dni ukončení realizace projektu dokumenty prokazující naplnění preferenčních kritérií věcné fáze procesu souladu projektového záměru se SCLLD.</w:t>
            </w:r>
            <w:bookmarkEnd w:id="0"/>
          </w:p>
        </w:tc>
      </w:tr>
      <w:tr w:rsidR="004E6444" w:rsidRPr="00BA701F" w14:paraId="58F0119C" w14:textId="77777777" w:rsidTr="006B7EF3">
        <w:trPr>
          <w:trHeight w:val="2133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102F101C" w14:textId="3E3F791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Lhůta platnosti </w:t>
            </w:r>
            <w:r w:rsidRPr="006B5A7B">
              <w:rPr>
                <w:rFonts w:eastAsia="Times New Roman"/>
                <w:b/>
                <w:bCs/>
                <w:color w:val="000000"/>
              </w:rPr>
              <w:t>Vyjádření MAS o souladu/nesouladu projektového záměru/náhradního projektového záměru se SCLLD 21-27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BE3F6" w14:textId="77777777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Lhůta platnosti </w:t>
            </w:r>
            <w:r w:rsidRPr="001949C6">
              <w:rPr>
                <w:rFonts w:eastAsia="Times New Roman"/>
                <w:color w:val="000000"/>
              </w:rPr>
              <w:t xml:space="preserve">Vyjádření MAS o souladu/nesouladu projektového záměru/náhradního projektového záměru se SCLLD 21-27 </w:t>
            </w:r>
            <w:r w:rsidRPr="000F6E92">
              <w:rPr>
                <w:rFonts w:eastAsia="Times New Roman"/>
                <w:color w:val="000000"/>
              </w:rPr>
              <w:t>je stanovena na</w:t>
            </w:r>
            <w:r>
              <w:rPr>
                <w:rFonts w:eastAsia="Times New Roman"/>
                <w:color w:val="000000"/>
              </w:rPr>
              <w:t xml:space="preserve"> 30. 6. 2024.</w:t>
            </w:r>
          </w:p>
          <w:p w14:paraId="44CBAAF6" w14:textId="77777777" w:rsidR="006B7EF3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Konkrétní datum bude uvedeno na dokumentu </w:t>
            </w:r>
            <w:r w:rsidRPr="001949C6">
              <w:rPr>
                <w:rFonts w:eastAsia="Times New Roman"/>
                <w:color w:val="000000"/>
              </w:rPr>
              <w:t>Vyjádření MAS o</w:t>
            </w:r>
            <w:r>
              <w:rPr>
                <w:rFonts w:eastAsia="Times New Roman"/>
                <w:color w:val="000000"/>
              </w:rPr>
              <w:t xml:space="preserve"> souladu/nesouladu projektového </w:t>
            </w:r>
            <w:r w:rsidRPr="001949C6">
              <w:rPr>
                <w:rFonts w:eastAsia="Times New Roman"/>
                <w:color w:val="000000"/>
              </w:rPr>
              <w:t>záměru/náhradního projektového záměru se SCLLD 21-27</w:t>
            </w:r>
            <w:r>
              <w:rPr>
                <w:rFonts w:eastAsia="Times New Roman"/>
                <w:color w:val="000000"/>
              </w:rPr>
              <w:t>.</w:t>
            </w:r>
          </w:p>
          <w:p w14:paraId="7889C8FA" w14:textId="6FF582F2" w:rsidR="004E6444" w:rsidRDefault="004E6444" w:rsidP="006B7EF3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039FBC9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34B6918" w14:textId="6D41EE33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383C8B">
              <w:rPr>
                <w:rFonts w:eastAsia="Times New Roman"/>
                <w:b/>
                <w:bCs/>
                <w:color w:val="000000"/>
              </w:rPr>
              <w:t>Postup vybraných projektů k podpoře po vydání souladu projektového záměru se SCLLD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6D733" w14:textId="53FAAC79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Postupy vybraných projektů k podpoře po vydání souladu projektového záměru se SCLLD upravují Interní postupy 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 kapitole č. 7.</w:t>
            </w:r>
          </w:p>
          <w:p w14:paraId="2F0BBC0D" w14:textId="0DC876E9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>Po kompletním zadání projektu do systému MS2021+, včetně všech příloh, požádá žadatel kancelář MAS o kontrolu shodnosti projektového záměru a projektu zadaného v MS2021+. O kontrolu je nutné požádat nejpozději 15 pracovních dní před vypršením platnosti Vyjádření MAS o souladu/nesouladu projektového záměru/náhradního projektového záměru se SCLLD 21-27, pokud je tato lhůta stanovena. Na základě individuální žádosti je možné stanovenou lhůtu posunout.</w:t>
            </w:r>
          </w:p>
        </w:tc>
      </w:tr>
      <w:tr w:rsidR="004E6444" w:rsidRPr="00BA701F" w14:paraId="0A8920B2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6BDA85D" w14:textId="48A77B1D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55615B">
              <w:rPr>
                <w:rFonts w:eastAsia="Times New Roman"/>
                <w:b/>
                <w:bCs/>
                <w:color w:val="000000"/>
              </w:rPr>
              <w:t xml:space="preserve">Povinnosti hlášení změn projektů na </w:t>
            </w:r>
            <w:proofErr w:type="gramStart"/>
            <w:r w:rsidRPr="0055615B">
              <w:rPr>
                <w:rFonts w:eastAsia="Times New Roman"/>
                <w:b/>
                <w:bCs/>
                <w:color w:val="000000"/>
              </w:rPr>
              <w:t>MAS</w:t>
            </w:r>
            <w:proofErr w:type="gramEnd"/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ECD2" w14:textId="47E8FAAE" w:rsidR="004E6444" w:rsidRPr="0055615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</w:t>
            </w:r>
            <w:r w:rsidRPr="0055615B">
              <w:rPr>
                <w:rFonts w:eastAsia="Times New Roman"/>
                <w:color w:val="000000"/>
              </w:rPr>
              <w:t xml:space="preserve">ovinnosti hlášení změn projektů na </w:t>
            </w:r>
            <w:proofErr w:type="gramStart"/>
            <w:r w:rsidRPr="0055615B">
              <w:rPr>
                <w:rFonts w:eastAsia="Times New Roman"/>
                <w:color w:val="000000"/>
              </w:rPr>
              <w:t>MAS</w:t>
            </w:r>
            <w:proofErr w:type="gramEnd"/>
            <w:r>
              <w:rPr>
                <w:rFonts w:eastAsia="Times New Roman"/>
                <w:color w:val="000000"/>
              </w:rPr>
              <w:t xml:space="preserve"> upravují Interní postupy  Kyjovského Slovácka v pohybu, z.s. IROP 2021 – 2027 v kapitole</w:t>
            </w:r>
            <w:r w:rsidRPr="0055615B">
              <w:rPr>
                <w:rFonts w:eastAsia="Times New Roman"/>
                <w:color w:val="000000"/>
              </w:rPr>
              <w:t xml:space="preserve"> č. 8</w:t>
            </w:r>
          </w:p>
          <w:p w14:paraId="64F0F237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7356E18B" w14:textId="77777777" w:rsidTr="00890448">
        <w:trPr>
          <w:trHeight w:val="1033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74748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Další specifika výzvy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E3A2" w14:textId="0C311A4F" w:rsidR="004E6444" w:rsidRPr="006005AD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Specifika výzvy MAS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viz odkaz níže. </w:t>
            </w:r>
          </w:p>
          <w:p w14:paraId="283DAC91" w14:textId="790ED9C5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Jedná se především o postupy:</w:t>
            </w:r>
          </w:p>
          <w:p w14:paraId="49C55479" w14:textId="39A0174D" w:rsidR="004E6444" w:rsidRPr="00221188" w:rsidRDefault="004E6444" w:rsidP="004E6444">
            <w:pPr>
              <w:pStyle w:val="Odstavecseseznamem"/>
              <w:numPr>
                <w:ilvl w:val="0"/>
                <w:numId w:val="12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možnosti změny výzvy – kapitola č. 2</w:t>
            </w:r>
          </w:p>
          <w:p w14:paraId="13856800" w14:textId="221BEFCC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vymezující náhradní projekty a možnosti jejich podpory – kapitola č. 5</w:t>
            </w:r>
          </w:p>
          <w:p w14:paraId="66EB06C8" w14:textId="6B5FB285" w:rsidR="004E6444" w:rsidRDefault="004E6444" w:rsidP="004E6444">
            <w:pPr>
              <w:pStyle w:val="Odstavecseseznamem"/>
              <w:numPr>
                <w:ilvl w:val="0"/>
                <w:numId w:val="10"/>
              </w:num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možnost podat žádost o přezkum hodnocení či stížnost – kapitola č. 6</w:t>
            </w:r>
          </w:p>
          <w:p w14:paraId="5FC5A664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Výzvě MAS je nadřazena Výzva ŘO IROP a dokumenty s ní související. </w:t>
            </w:r>
          </w:p>
          <w:p w14:paraId="29F6924A" w14:textId="384C3CCF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091824D4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17885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Forma a způsob podání žádosti o podporu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97C2" w14:textId="43FA9F5D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Způsob podání projektového záměru upravují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 v kapitole č. 4. </w:t>
            </w:r>
          </w:p>
          <w:p w14:paraId="47763AC8" w14:textId="77777777" w:rsidR="004E6444" w:rsidRDefault="004E6444" w:rsidP="004E6444">
            <w:r>
              <w:t>Způsob podávání projektového záměru do vyhlášené výzvy MAS bude probíhat</w:t>
            </w:r>
            <w:r w:rsidRPr="00E9351B">
              <w:t xml:space="preserve"> elektronickou formou</w:t>
            </w:r>
            <w:r>
              <w:t xml:space="preserve">. Součástí vyhlášené výzvy MAS je vzor projektového formuláře, který musí žadatel vyplnit. Žadatel projektový formulář vyplní, </w:t>
            </w:r>
            <w:r w:rsidRPr="00E9351B">
              <w:t>uloží ve formátu PDF a elektronicky podepíše nebo vytiskne a podepíše</w:t>
            </w:r>
            <w:r w:rsidRPr="00670FB7">
              <w:t>. Rovněž</w:t>
            </w:r>
            <w:r>
              <w:t xml:space="preserve"> obdobným způsobem připraví veškeré potřebné přílohy projektového záměru. Přílohy není nutné podepisovat. </w:t>
            </w:r>
          </w:p>
          <w:p w14:paraId="585688D5" w14:textId="77777777" w:rsidR="004E6444" w:rsidRDefault="004E6444" w:rsidP="004E6444">
            <w:r>
              <w:t>Kompletně připravený projektový záměr následně žadatel</w:t>
            </w:r>
            <w:r w:rsidRPr="006533AA">
              <w:t xml:space="preserve"> odešle na e-mailovou adresu </w:t>
            </w:r>
            <w:hyperlink r:id="rId11" w:history="1">
              <w:r w:rsidRPr="00032370">
                <w:rPr>
                  <w:rStyle w:val="Hypertextovodkaz"/>
                </w:rPr>
                <w:t>irop@kyjovske-slovacko.com</w:t>
              </w:r>
            </w:hyperlink>
            <w:r>
              <w:t xml:space="preserve"> a současně také </w:t>
            </w:r>
            <w:r w:rsidRPr="00DB2D95">
              <w:t>datovou schránkou do datové schránky MAS</w:t>
            </w:r>
            <w:r>
              <w:t>. Zaslání oběma způsoby je nezbytné z důvodu zajištění časového údaje pro přijetí žádosti a archivace komunikace MAS s žadatelem.</w:t>
            </w:r>
          </w:p>
          <w:p w14:paraId="0CD60205" w14:textId="0ACC48CC" w:rsidR="004E6444" w:rsidRPr="00670FB7" w:rsidRDefault="004E6444" w:rsidP="004E6444">
            <w:r>
              <w:t xml:space="preserve">Projektové záměry, které budou doručeny později, než je stanoveno výzvou, budou automaticky vyřazeny z procesu posouzení souladu projektových záměrů se SCLLD 21-27. Za doručení projektového </w:t>
            </w:r>
            <w:r w:rsidRPr="008F5C7F">
              <w:t>záměru je považován datum a čas dodání uveřejněný na příchozí zprávě z datové schránky.</w:t>
            </w:r>
          </w:p>
        </w:tc>
      </w:tr>
      <w:tr w:rsidR="004E6444" w:rsidRPr="00BA701F" w14:paraId="4B2A4F27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499687" w14:textId="07B21DEF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Odkaz na Interní postupy MAS</w:t>
            </w:r>
            <w:r>
              <w:rPr>
                <w:rFonts w:eastAsia="Times New Roman"/>
                <w:b/>
                <w:bCs/>
                <w:color w:val="000000"/>
              </w:rPr>
              <w:t xml:space="preserve"> a Výzvu MAS 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BE1D" w14:textId="6AB6E96E" w:rsidR="004E6444" w:rsidRPr="00BA701F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2" w:history="1">
              <w:r w:rsidR="004E6444" w:rsidRPr="00820447">
                <w:rPr>
                  <w:rStyle w:val="Hypertextovodkaz"/>
                  <w:rFonts w:eastAsia="Times New Roman"/>
                </w:rPr>
                <w:t>https://www.kyjovske-slovacko.com/cs/1-vyzva-irop-21-vzdelavani-zs</w:t>
              </w:r>
            </w:hyperlink>
          </w:p>
        </w:tc>
      </w:tr>
      <w:tr w:rsidR="004E6444" w:rsidRPr="00BA701F" w14:paraId="3E69C5E8" w14:textId="77777777" w:rsidTr="00106376">
        <w:trPr>
          <w:trHeight w:val="684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B653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Odkaz na Obecná a Specifická pravidla výzvy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6F02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Obecná pravidla:</w:t>
            </w:r>
          </w:p>
          <w:p w14:paraId="2BCA931E" w14:textId="77777777" w:rsidR="004E6444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3" w:history="1">
              <w:r w:rsidR="004E6444" w:rsidRPr="0069367E">
                <w:rPr>
                  <w:rStyle w:val="Hypertextovodkaz"/>
                  <w:rFonts w:eastAsia="Times New Roman"/>
                </w:rPr>
                <w:t>https://irop.mmr.cz/getmedia/05dbdf14-b286-4ad4-9f73-094e3a26e079/Obecna-pravidla-2021-2027_verze-2.pdf.aspx?ext=.pdf</w:t>
              </w:r>
            </w:hyperlink>
          </w:p>
          <w:p w14:paraId="157AB540" w14:textId="77777777" w:rsidR="004E6444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Specifická pravidla:</w:t>
            </w:r>
          </w:p>
          <w:p w14:paraId="1F881971" w14:textId="77777777" w:rsidR="004E6444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4" w:history="1">
              <w:r w:rsidR="004E6444" w:rsidRPr="0069367E">
                <w:rPr>
                  <w:rStyle w:val="Hypertextovodkaz"/>
                  <w:rFonts w:eastAsia="Times New Roman"/>
                </w:rPr>
                <w:t>https://irop.mmr.cz/getmedia/3dfce452-82b3-4aa6-8315-aaf8ee18d107/48-Specificka-pravidla-VZDELAVANI-CLLD-v1.pdf.aspx?ext=.pdf</w:t>
              </w:r>
            </w:hyperlink>
          </w:p>
          <w:p w14:paraId="4344B893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520696B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DA1B56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Odkaz na nadřazenou Výzvu ŘO IROP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AC14" w14:textId="77777777" w:rsidR="004E6444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5" w:history="1">
              <w:r w:rsidR="004E6444" w:rsidRPr="0069367E">
                <w:rPr>
                  <w:rStyle w:val="Hypertextovodkaz"/>
                  <w:rFonts w:eastAsia="Times New Roman"/>
                </w:rPr>
                <w:t>https://irop.mmr.cz/cs/vyzvy-2021-2027/vyzvy/48vyzvairop</w:t>
              </w:r>
            </w:hyperlink>
          </w:p>
          <w:p w14:paraId="6A713C3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4061583C" w14:textId="77777777" w:rsidTr="00106376">
        <w:trPr>
          <w:trHeight w:val="288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8FA60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Kontakty pro poskytování informací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E926" w14:textId="5E2BF40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 xml:space="preserve">Kontaktní údaje na pracovníky Kyjovského Slovácka v </w:t>
            </w:r>
            <w:proofErr w:type="gramStart"/>
            <w:r w:rsidRPr="00DC2E4B">
              <w:rPr>
                <w:rFonts w:eastAsia="Times New Roman"/>
                <w:color w:val="000000"/>
              </w:rPr>
              <w:t>pohybu, z.s.</w:t>
            </w:r>
            <w:proofErr w:type="gramEnd"/>
            <w:r w:rsidRPr="00DC2E4B">
              <w:rPr>
                <w:rFonts w:eastAsia="Times New Roman"/>
                <w:color w:val="000000"/>
              </w:rPr>
              <w:t>:</w:t>
            </w:r>
          </w:p>
          <w:p w14:paraId="14464384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Ing. Tomáš Kolařík</w:t>
            </w:r>
          </w:p>
          <w:p w14:paraId="6698D92C" w14:textId="6667B7D4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775 766 469</w:t>
            </w:r>
          </w:p>
          <w:p w14:paraId="10D04B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tomaskolarik@kyjovske-slovacko.com</w:t>
            </w:r>
          </w:p>
          <w:p w14:paraId="3BB2233B" w14:textId="588E6BBC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Hana Horňáková</w:t>
            </w:r>
          </w:p>
          <w:p w14:paraId="3BFE72C3" w14:textId="1D3B2E6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mobil</w:t>
            </w:r>
            <w:r w:rsidRPr="00DC2E4B">
              <w:rPr>
                <w:rFonts w:eastAsia="Times New Roman"/>
                <w:color w:val="000000"/>
              </w:rPr>
              <w:t>: 774 664 668</w:t>
            </w:r>
          </w:p>
          <w:p w14:paraId="2B8584FF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e-mail: hanahornakova@kyjovske-slovacko.com</w:t>
            </w:r>
          </w:p>
          <w:p w14:paraId="79F67CB5" w14:textId="77777777" w:rsidR="004E6444" w:rsidRPr="00DC2E4B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DC2E4B">
              <w:rPr>
                <w:rFonts w:eastAsia="Times New Roman"/>
                <w:color w:val="000000"/>
              </w:rPr>
              <w:t>Poskytují informace při zpracování žádosti o podporu a posouzení jejího souladu s výzvou MAS.</w:t>
            </w:r>
          </w:p>
          <w:p w14:paraId="1C9DA44A" w14:textId="0F94BC3C" w:rsidR="004E6444" w:rsidRDefault="00BF26A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hyperlink r:id="rId16" w:history="1">
              <w:r w:rsidR="004E6444" w:rsidRPr="0069367E">
                <w:rPr>
                  <w:rStyle w:val="Hypertextovodkaz"/>
                  <w:rFonts w:eastAsia="Times New Roman"/>
                </w:rPr>
                <w:t>https://www.kyjovske-slovacko.com/cs/kontakty</w:t>
              </w:r>
            </w:hyperlink>
          </w:p>
          <w:p w14:paraId="1729F9D0" w14:textId="026FF884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</w:p>
        </w:tc>
      </w:tr>
      <w:tr w:rsidR="004E6444" w:rsidRPr="00BA701F" w14:paraId="16AB3B3A" w14:textId="77777777" w:rsidTr="00106376">
        <w:trPr>
          <w:trHeight w:val="288"/>
        </w:trPr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82CE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  <w:r w:rsidRPr="00BA701F">
              <w:rPr>
                <w:rFonts w:eastAsia="Times New Roman"/>
                <w:b/>
                <w:bCs/>
                <w:color w:val="000000"/>
              </w:rPr>
              <w:t>Seznam příloh výzvy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149A" w14:textId="29EDA7C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1. Formulář projektového záměru</w:t>
            </w:r>
          </w:p>
        </w:tc>
      </w:tr>
      <w:tr w:rsidR="004E6444" w:rsidRPr="00BA701F" w14:paraId="1AA4B614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ED66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26EA" w14:textId="731A853F" w:rsidR="004E6444" w:rsidRPr="00802765" w:rsidRDefault="004E6444" w:rsidP="004E6444">
            <w:r>
              <w:rPr>
                <w:rFonts w:eastAsia="Times New Roman"/>
                <w:color w:val="000000"/>
              </w:rPr>
              <w:t xml:space="preserve">2. Kritéria </w:t>
            </w:r>
            <w:r>
              <w:t xml:space="preserve">pro posouzení </w:t>
            </w:r>
            <w:r w:rsidRPr="00AA469E">
              <w:t>administrativní</w:t>
            </w:r>
            <w:r w:rsidRPr="00BC614C">
              <w:t xml:space="preserve"> </w:t>
            </w:r>
            <w:r>
              <w:t>fáze procesu souladu</w:t>
            </w:r>
            <w:r w:rsidRPr="0047196C">
              <w:t xml:space="preserve"> </w:t>
            </w:r>
            <w:r w:rsidRPr="000C3A74">
              <w:t>projektového záměru se SCLLD</w:t>
            </w:r>
          </w:p>
        </w:tc>
      </w:tr>
      <w:tr w:rsidR="004E6444" w:rsidRPr="00BA701F" w14:paraId="18A1C85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D34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B964D" w14:textId="68D2657A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>
              <w:t xml:space="preserve">3. Kritéria pro posouzení věcné fáze procesu souladu </w:t>
            </w:r>
            <w:r w:rsidRPr="000C3A74">
              <w:t>projektového záměru se SCLLD</w:t>
            </w:r>
          </w:p>
        </w:tc>
      </w:tr>
      <w:tr w:rsidR="004E6444" w:rsidRPr="00BA701F" w14:paraId="46D69FB9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6635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0C65C" w14:textId="5CDFA2E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 xml:space="preserve">4. </w:t>
            </w:r>
            <w:r w:rsidRPr="000C3A74">
              <w:t>Vyjádření MAS o souladu/nesouladu projektového záměru/náhradního projektového záměru se SCLLD 21-27</w:t>
            </w:r>
          </w:p>
        </w:tc>
      </w:tr>
      <w:tr w:rsidR="004E6444" w:rsidRPr="00BA701F" w14:paraId="349BE10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A500E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E661" w14:textId="4D1DD359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  <w:r>
              <w:rPr>
                <w:rFonts w:eastAsia="Times New Roman"/>
                <w:color w:val="000000"/>
              </w:rPr>
              <w:t>5. Interní postupy Kyjovského Slovácka v </w:t>
            </w:r>
            <w:proofErr w:type="gramStart"/>
            <w:r>
              <w:rPr>
                <w:rFonts w:eastAsia="Times New Roman"/>
                <w:color w:val="000000"/>
              </w:rPr>
              <w:t>pohybu, z.s.</w:t>
            </w:r>
            <w:proofErr w:type="gramEnd"/>
            <w:r>
              <w:rPr>
                <w:rFonts w:eastAsia="Times New Roman"/>
                <w:color w:val="000000"/>
              </w:rPr>
              <w:t xml:space="preserve"> IROP 2021 – 2027</w:t>
            </w:r>
          </w:p>
        </w:tc>
      </w:tr>
      <w:tr w:rsidR="004E6444" w:rsidRPr="00BA701F" w14:paraId="1341859A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399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14F9" w14:textId="153BA49E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EF93225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230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E68C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1C3DC9EB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928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34BA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53ED8FC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0A13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3C3D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  <w:tr w:rsidR="004E6444" w:rsidRPr="00BA701F" w14:paraId="4FD5D627" w14:textId="77777777" w:rsidTr="00106376">
        <w:trPr>
          <w:trHeight w:val="288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719CF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5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5E101" w14:textId="77777777" w:rsidR="004E6444" w:rsidRPr="00BA701F" w:rsidRDefault="004E6444" w:rsidP="004E6444">
            <w:pPr>
              <w:spacing w:after="0"/>
              <w:jc w:val="left"/>
              <w:rPr>
                <w:rFonts w:eastAsia="Times New Roman"/>
                <w:color w:val="000000"/>
              </w:rPr>
            </w:pPr>
            <w:r w:rsidRPr="00BA701F">
              <w:rPr>
                <w:rFonts w:eastAsia="Times New Roman"/>
                <w:color w:val="000000"/>
              </w:rPr>
              <w:t> </w:t>
            </w:r>
          </w:p>
        </w:tc>
      </w:tr>
    </w:tbl>
    <w:p w14:paraId="70B93C4A" w14:textId="46C644AD" w:rsidR="00A96558" w:rsidRDefault="00A96558" w:rsidP="00A96558">
      <w:pPr>
        <w:spacing w:after="160" w:line="259" w:lineRule="auto"/>
        <w:jc w:val="left"/>
        <w:rPr>
          <w:rFonts w:ascii="Arial" w:eastAsia="Arial" w:hAnsi="Arial" w:cs="Arial"/>
          <w:b/>
          <w:u w:val="single"/>
        </w:rPr>
      </w:pPr>
    </w:p>
    <w:p w14:paraId="4FC24436" w14:textId="77777777" w:rsidR="00A96558" w:rsidRPr="00A96558" w:rsidRDefault="00A96558" w:rsidP="00A96558">
      <w:pPr>
        <w:rPr>
          <w:rFonts w:ascii="Arial" w:eastAsia="Arial" w:hAnsi="Arial" w:cs="Arial"/>
        </w:rPr>
      </w:pPr>
    </w:p>
    <w:sectPr w:rsidR="00A96558" w:rsidRPr="00A96558" w:rsidSect="00A3692C">
      <w:headerReference w:type="firs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439A7" w14:textId="77777777" w:rsidR="00A3692C" w:rsidRDefault="00A3692C" w:rsidP="00A3692C">
      <w:pPr>
        <w:spacing w:after="0"/>
      </w:pPr>
      <w:r>
        <w:separator/>
      </w:r>
    </w:p>
  </w:endnote>
  <w:endnote w:type="continuationSeparator" w:id="0">
    <w:p w14:paraId="2D88B80B" w14:textId="77777777" w:rsidR="00A3692C" w:rsidRDefault="00A3692C" w:rsidP="00A3692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ED4530" w14:textId="77777777" w:rsidR="00A3692C" w:rsidRDefault="00A3692C" w:rsidP="00A3692C">
      <w:pPr>
        <w:spacing w:after="0"/>
      </w:pPr>
      <w:r>
        <w:separator/>
      </w:r>
    </w:p>
  </w:footnote>
  <w:footnote w:type="continuationSeparator" w:id="0">
    <w:p w14:paraId="77C0C29B" w14:textId="77777777" w:rsidR="00A3692C" w:rsidRDefault="00A3692C" w:rsidP="00A3692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A5A84" w14:textId="24F6FBC3" w:rsidR="00A3692C" w:rsidRDefault="00A3692C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71E1B0" wp14:editId="0202654A">
          <wp:simplePos x="0" y="0"/>
          <wp:positionH relativeFrom="column">
            <wp:posOffset>5368125</wp:posOffset>
          </wp:positionH>
          <wp:positionV relativeFrom="paragraph">
            <wp:posOffset>-251459</wp:posOffset>
          </wp:positionV>
          <wp:extent cx="931333" cy="502920"/>
          <wp:effectExtent l="0" t="0" r="254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67" cy="505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7DE8FF7" wp14:editId="46649A91">
          <wp:simplePos x="0" y="0"/>
          <wp:positionH relativeFrom="column">
            <wp:posOffset>-564515</wp:posOffset>
          </wp:positionH>
          <wp:positionV relativeFrom="paragraph">
            <wp:posOffset>-205740</wp:posOffset>
          </wp:positionV>
          <wp:extent cx="3747600" cy="450000"/>
          <wp:effectExtent l="0" t="0" r="5715" b="762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76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6BB8"/>
    <w:multiLevelType w:val="hybridMultilevel"/>
    <w:tmpl w:val="2CC87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5C3668">
      <w:numFmt w:val="bullet"/>
      <w:lvlText w:val="-"/>
      <w:lvlJc w:val="left"/>
      <w:pPr>
        <w:ind w:left="1440" w:hanging="360"/>
      </w:pPr>
      <w:rPr>
        <w:rFonts w:ascii="Helvetica" w:eastAsiaTheme="minorHAnsi" w:hAnsi="Helvetica" w:cs="Helvetica" w:hint="default"/>
        <w:b w:val="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B17A2"/>
    <w:multiLevelType w:val="hybridMultilevel"/>
    <w:tmpl w:val="B4A46824"/>
    <w:lvl w:ilvl="0" w:tplc="8D6CFDAA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A2874"/>
    <w:multiLevelType w:val="hybridMultilevel"/>
    <w:tmpl w:val="45846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7124B"/>
    <w:multiLevelType w:val="hybridMultilevel"/>
    <w:tmpl w:val="EBF6D2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24658AE"/>
    <w:multiLevelType w:val="hybridMultilevel"/>
    <w:tmpl w:val="B7189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D6720"/>
    <w:multiLevelType w:val="hybridMultilevel"/>
    <w:tmpl w:val="FA262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B03FC"/>
    <w:multiLevelType w:val="multilevel"/>
    <w:tmpl w:val="FF8419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95D2AB0"/>
    <w:multiLevelType w:val="hybridMultilevel"/>
    <w:tmpl w:val="9E302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895829"/>
    <w:multiLevelType w:val="hybridMultilevel"/>
    <w:tmpl w:val="D722C7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51235A"/>
    <w:multiLevelType w:val="hybridMultilevel"/>
    <w:tmpl w:val="FD0099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642A7D"/>
    <w:multiLevelType w:val="hybridMultilevel"/>
    <w:tmpl w:val="83A2662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782EB4"/>
    <w:multiLevelType w:val="hybridMultilevel"/>
    <w:tmpl w:val="E6201844"/>
    <w:lvl w:ilvl="0" w:tplc="8D6CFDAA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B632C"/>
    <w:multiLevelType w:val="hybridMultilevel"/>
    <w:tmpl w:val="DB2CA4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F1BA5"/>
    <w:multiLevelType w:val="hybridMultilevel"/>
    <w:tmpl w:val="5FB29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677F8"/>
    <w:multiLevelType w:val="hybridMultilevel"/>
    <w:tmpl w:val="7388C11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23BDC"/>
    <w:multiLevelType w:val="hybridMultilevel"/>
    <w:tmpl w:val="62FA7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10"/>
  </w:num>
  <w:num w:numId="9">
    <w:abstractNumId w:val="14"/>
  </w:num>
  <w:num w:numId="10">
    <w:abstractNumId w:val="15"/>
  </w:num>
  <w:num w:numId="11">
    <w:abstractNumId w:val="6"/>
  </w:num>
  <w:num w:numId="12">
    <w:abstractNumId w:val="4"/>
  </w:num>
  <w:num w:numId="13">
    <w:abstractNumId w:val="7"/>
  </w:num>
  <w:num w:numId="14">
    <w:abstractNumId w:val="1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4DC"/>
    <w:rsid w:val="00055872"/>
    <w:rsid w:val="0005725C"/>
    <w:rsid w:val="00071D19"/>
    <w:rsid w:val="000F54F4"/>
    <w:rsid w:val="000F6E92"/>
    <w:rsid w:val="00143E7F"/>
    <w:rsid w:val="001949C6"/>
    <w:rsid w:val="001B2403"/>
    <w:rsid w:val="001B298F"/>
    <w:rsid w:val="001C72BF"/>
    <w:rsid w:val="001D15A9"/>
    <w:rsid w:val="002130AC"/>
    <w:rsid w:val="00221188"/>
    <w:rsid w:val="00231A4D"/>
    <w:rsid w:val="00244C75"/>
    <w:rsid w:val="00295FFC"/>
    <w:rsid w:val="002E34AE"/>
    <w:rsid w:val="002E37E6"/>
    <w:rsid w:val="002F365C"/>
    <w:rsid w:val="003620FB"/>
    <w:rsid w:val="003758BD"/>
    <w:rsid w:val="00377A4D"/>
    <w:rsid w:val="00383C8B"/>
    <w:rsid w:val="003D0BC4"/>
    <w:rsid w:val="003D0C9B"/>
    <w:rsid w:val="004147E4"/>
    <w:rsid w:val="0041673B"/>
    <w:rsid w:val="0043455A"/>
    <w:rsid w:val="0043799C"/>
    <w:rsid w:val="004813E5"/>
    <w:rsid w:val="004A2920"/>
    <w:rsid w:val="004B1271"/>
    <w:rsid w:val="004E1A59"/>
    <w:rsid w:val="004E6444"/>
    <w:rsid w:val="00517866"/>
    <w:rsid w:val="00532619"/>
    <w:rsid w:val="00550CD1"/>
    <w:rsid w:val="0055615B"/>
    <w:rsid w:val="0055766E"/>
    <w:rsid w:val="00570CC7"/>
    <w:rsid w:val="00573912"/>
    <w:rsid w:val="0058216C"/>
    <w:rsid w:val="00592EB2"/>
    <w:rsid w:val="005B1109"/>
    <w:rsid w:val="005C277B"/>
    <w:rsid w:val="005C2C7A"/>
    <w:rsid w:val="005D1B99"/>
    <w:rsid w:val="005D795B"/>
    <w:rsid w:val="005E62C2"/>
    <w:rsid w:val="005E7FE5"/>
    <w:rsid w:val="006005AD"/>
    <w:rsid w:val="00607B07"/>
    <w:rsid w:val="00627227"/>
    <w:rsid w:val="00643765"/>
    <w:rsid w:val="00652F7A"/>
    <w:rsid w:val="00670FB7"/>
    <w:rsid w:val="006B5A7B"/>
    <w:rsid w:val="006B7EF3"/>
    <w:rsid w:val="006C0080"/>
    <w:rsid w:val="007234CE"/>
    <w:rsid w:val="00753D29"/>
    <w:rsid w:val="007A2B23"/>
    <w:rsid w:val="00802765"/>
    <w:rsid w:val="00815957"/>
    <w:rsid w:val="00824F87"/>
    <w:rsid w:val="00831EA2"/>
    <w:rsid w:val="008505F6"/>
    <w:rsid w:val="00854914"/>
    <w:rsid w:val="00864AAF"/>
    <w:rsid w:val="00890448"/>
    <w:rsid w:val="008C05A2"/>
    <w:rsid w:val="008E1B08"/>
    <w:rsid w:val="00920A06"/>
    <w:rsid w:val="00922EC1"/>
    <w:rsid w:val="009579D0"/>
    <w:rsid w:val="00971625"/>
    <w:rsid w:val="009D7659"/>
    <w:rsid w:val="009E4032"/>
    <w:rsid w:val="009F1E2D"/>
    <w:rsid w:val="00A3692C"/>
    <w:rsid w:val="00A861A0"/>
    <w:rsid w:val="00A96558"/>
    <w:rsid w:val="00AC1DC6"/>
    <w:rsid w:val="00AD6C85"/>
    <w:rsid w:val="00AF71E4"/>
    <w:rsid w:val="00B0050E"/>
    <w:rsid w:val="00B04193"/>
    <w:rsid w:val="00B16F51"/>
    <w:rsid w:val="00B26049"/>
    <w:rsid w:val="00B57858"/>
    <w:rsid w:val="00B8766A"/>
    <w:rsid w:val="00BA1720"/>
    <w:rsid w:val="00BD2AF7"/>
    <w:rsid w:val="00BF26A4"/>
    <w:rsid w:val="00C1373B"/>
    <w:rsid w:val="00C40D5B"/>
    <w:rsid w:val="00C57C28"/>
    <w:rsid w:val="00C71BE8"/>
    <w:rsid w:val="00CB41D9"/>
    <w:rsid w:val="00D06132"/>
    <w:rsid w:val="00D064DC"/>
    <w:rsid w:val="00D7257E"/>
    <w:rsid w:val="00D77450"/>
    <w:rsid w:val="00DB3AD4"/>
    <w:rsid w:val="00DC2E4B"/>
    <w:rsid w:val="00DC522E"/>
    <w:rsid w:val="00E62F22"/>
    <w:rsid w:val="00E97716"/>
    <w:rsid w:val="00EA055F"/>
    <w:rsid w:val="00EA44F1"/>
    <w:rsid w:val="00F75564"/>
    <w:rsid w:val="00F77EF5"/>
    <w:rsid w:val="00F82DAD"/>
    <w:rsid w:val="00FC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7DA6E3A"/>
  <w15:chartTrackingRefBased/>
  <w15:docId w15:val="{CC62AF63-7029-44B2-9A49-266CF57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29"/>
    <w:pPr>
      <w:spacing w:after="120" w:line="240" w:lineRule="auto"/>
      <w:jc w:val="both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B26049"/>
  </w:style>
  <w:style w:type="paragraph" w:customStyle="1" w:styleId="Default">
    <w:name w:val="Default"/>
    <w:rsid w:val="00592EB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92EB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673B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437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37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376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37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376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37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765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3692C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3692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3692C"/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yjovske-slovacko.com/sites/default/files/prilohy/2022/01/clld_21_04_127_signovana_pro_podani_do_ms2021.pdf" TargetMode="External"/><Relationship Id="rId13" Type="http://schemas.openxmlformats.org/officeDocument/2006/relationships/hyperlink" Target="https://irop.mmr.cz/getmedia/05dbdf14-b286-4ad4-9f73-094e3a26e079/Obecna-pravidla-2021-2027_verze-2.pdf.aspx?ext=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kyjovske-slovacko.com/cs/1-vyzva-irop-21-vzdelavani-zs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kyjovske-slovacko.com/cs/kontakt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op@kyjovske-slovack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rop.mmr.cz/cs/vyzvy-2021-2027/vyzvy/48vyzvairop" TargetMode="External"/><Relationship Id="rId10" Type="http://schemas.openxmlformats.org/officeDocument/2006/relationships/hyperlink" Target="https://www.mmr.cz/cs/microsites/uzemni-dimenze/regionalni-rozvoj/map-kap/strategicke-ramce-map-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kyjovske-slovacko.com/cs/mapy-uzemi" TargetMode="External"/><Relationship Id="rId14" Type="http://schemas.openxmlformats.org/officeDocument/2006/relationships/hyperlink" Target="https://irop.mmr.cz/getmedia/3dfce452-82b3-4aa6-8315-aaf8ee18d107/48-Specificka-pravidla-VZDELAVANI-CLLD-v1.pdf.aspx?ext=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F4A84-0EBD-4042-AB5C-8E257AFCE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8</Pages>
  <Words>2283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82</cp:revision>
  <dcterms:created xsi:type="dcterms:W3CDTF">2023-04-17T12:53:00Z</dcterms:created>
  <dcterms:modified xsi:type="dcterms:W3CDTF">2023-06-13T10:30:00Z</dcterms:modified>
</cp:coreProperties>
</file>